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CEEF0" w14:textId="77777777" w:rsidR="005827FB" w:rsidRDefault="006958C2">
      <w:r>
        <w:t xml:space="preserve">We can think of as accounting is the language of business. Just like learning a new language, when we learn accounting, we need to understand the meaning of new words. Let’s consider two important words: Debit and Credit. </w:t>
      </w:r>
    </w:p>
    <w:p w14:paraId="137494A3" w14:textId="4D2B8B09" w:rsidR="006958C2" w:rsidRDefault="006958C2">
      <w:r>
        <w:t xml:space="preserve">Both </w:t>
      </w:r>
      <w:r w:rsidR="005827FB">
        <w:t>Debit and Credit</w:t>
      </w:r>
      <w:r>
        <w:t xml:space="preserve"> can mean either </w:t>
      </w:r>
      <w:r>
        <w:rPr>
          <w:i/>
          <w:iCs/>
          <w:u w:val="single"/>
        </w:rPr>
        <w:t>increase</w:t>
      </w:r>
      <w:r>
        <w:t xml:space="preserve"> or </w:t>
      </w:r>
      <w:r>
        <w:rPr>
          <w:i/>
          <w:iCs/>
          <w:u w:val="single"/>
        </w:rPr>
        <w:t>decrease</w:t>
      </w:r>
      <w:r>
        <w:t xml:space="preserve">. It depends on </w:t>
      </w:r>
      <w:r w:rsidR="005827FB">
        <w:t>the account type being described. We can remember how to increase each account type by remembering the acronym: DC ADE LER:</w:t>
      </w:r>
    </w:p>
    <w:tbl>
      <w:tblPr>
        <w:tblStyle w:val="TableGrid"/>
        <w:tblW w:w="0" w:type="auto"/>
        <w:jc w:val="center"/>
        <w:tblLook w:val="04A0" w:firstRow="1" w:lastRow="0" w:firstColumn="1" w:lastColumn="0" w:noHBand="0" w:noVBand="1"/>
      </w:tblPr>
      <w:tblGrid>
        <w:gridCol w:w="992"/>
        <w:gridCol w:w="992"/>
      </w:tblGrid>
      <w:tr w:rsidR="005827FB" w14:paraId="0EEF8A45" w14:textId="77777777" w:rsidTr="005827FB">
        <w:trPr>
          <w:trHeight w:val="229"/>
          <w:jc w:val="center"/>
        </w:trPr>
        <w:tc>
          <w:tcPr>
            <w:tcW w:w="992" w:type="dxa"/>
          </w:tcPr>
          <w:p w14:paraId="2CAA288E" w14:textId="6BB8E40F" w:rsidR="005827FB" w:rsidRDefault="005827FB" w:rsidP="005827FB">
            <w:pPr>
              <w:jc w:val="center"/>
            </w:pPr>
            <w:r>
              <w:t>D</w:t>
            </w:r>
          </w:p>
        </w:tc>
        <w:tc>
          <w:tcPr>
            <w:tcW w:w="992" w:type="dxa"/>
          </w:tcPr>
          <w:p w14:paraId="16E29EB7" w14:textId="0AC9F121" w:rsidR="005827FB" w:rsidRDefault="005827FB" w:rsidP="005827FB">
            <w:pPr>
              <w:jc w:val="center"/>
            </w:pPr>
            <w:r>
              <w:t>C</w:t>
            </w:r>
          </w:p>
        </w:tc>
      </w:tr>
      <w:tr w:rsidR="005827FB" w14:paraId="2415450C" w14:textId="77777777" w:rsidTr="005827FB">
        <w:trPr>
          <w:trHeight w:val="216"/>
          <w:jc w:val="center"/>
        </w:trPr>
        <w:tc>
          <w:tcPr>
            <w:tcW w:w="992" w:type="dxa"/>
          </w:tcPr>
          <w:p w14:paraId="48FF99F6" w14:textId="4C6DCDF9" w:rsidR="005827FB" w:rsidRDefault="005827FB" w:rsidP="005827FB">
            <w:pPr>
              <w:jc w:val="center"/>
            </w:pPr>
            <w:r>
              <w:t>A</w:t>
            </w:r>
          </w:p>
          <w:p w14:paraId="242EE09C" w14:textId="77777777" w:rsidR="005827FB" w:rsidRDefault="005827FB" w:rsidP="005827FB">
            <w:pPr>
              <w:jc w:val="center"/>
            </w:pPr>
            <w:r>
              <w:t>D</w:t>
            </w:r>
          </w:p>
          <w:p w14:paraId="1698223E" w14:textId="356B884E" w:rsidR="005827FB" w:rsidRDefault="005827FB" w:rsidP="005827FB">
            <w:pPr>
              <w:jc w:val="center"/>
            </w:pPr>
            <w:r>
              <w:t>E</w:t>
            </w:r>
          </w:p>
        </w:tc>
        <w:tc>
          <w:tcPr>
            <w:tcW w:w="992" w:type="dxa"/>
          </w:tcPr>
          <w:p w14:paraId="4E867709" w14:textId="77777777" w:rsidR="005827FB" w:rsidRDefault="005827FB" w:rsidP="005827FB">
            <w:pPr>
              <w:jc w:val="center"/>
            </w:pPr>
            <w:r>
              <w:t>L</w:t>
            </w:r>
          </w:p>
          <w:p w14:paraId="563EDDC0" w14:textId="77777777" w:rsidR="005827FB" w:rsidRDefault="005827FB" w:rsidP="005827FB">
            <w:pPr>
              <w:jc w:val="center"/>
            </w:pPr>
            <w:r>
              <w:t>E</w:t>
            </w:r>
          </w:p>
          <w:p w14:paraId="656663F3" w14:textId="44CDF793" w:rsidR="005827FB" w:rsidRDefault="005827FB" w:rsidP="005827FB">
            <w:pPr>
              <w:jc w:val="center"/>
            </w:pPr>
            <w:r>
              <w:t>R</w:t>
            </w:r>
          </w:p>
        </w:tc>
      </w:tr>
    </w:tbl>
    <w:p w14:paraId="1A81C8AA" w14:textId="04025538" w:rsidR="005827FB" w:rsidRDefault="005827FB"/>
    <w:tbl>
      <w:tblPr>
        <w:tblStyle w:val="TableGrid"/>
        <w:tblW w:w="0" w:type="auto"/>
        <w:jc w:val="center"/>
        <w:tblLook w:val="04A0" w:firstRow="1" w:lastRow="0" w:firstColumn="1" w:lastColumn="0" w:noHBand="0" w:noVBand="1"/>
      </w:tblPr>
      <w:tblGrid>
        <w:gridCol w:w="1343"/>
        <w:gridCol w:w="1343"/>
      </w:tblGrid>
      <w:tr w:rsidR="005827FB" w14:paraId="069C951B" w14:textId="77777777" w:rsidTr="005827FB">
        <w:trPr>
          <w:trHeight w:val="229"/>
          <w:jc w:val="center"/>
        </w:trPr>
        <w:tc>
          <w:tcPr>
            <w:tcW w:w="1343" w:type="dxa"/>
          </w:tcPr>
          <w:p w14:paraId="5E762F35" w14:textId="71649AFF" w:rsidR="005827FB" w:rsidRDefault="005827FB" w:rsidP="009F02E3">
            <w:pPr>
              <w:jc w:val="center"/>
            </w:pPr>
            <w:r>
              <w:t>D</w:t>
            </w:r>
            <w:r>
              <w:t>ebit</w:t>
            </w:r>
          </w:p>
        </w:tc>
        <w:tc>
          <w:tcPr>
            <w:tcW w:w="1343" w:type="dxa"/>
          </w:tcPr>
          <w:p w14:paraId="76FDEDE6" w14:textId="47CD665D" w:rsidR="005827FB" w:rsidRDefault="005827FB" w:rsidP="009F02E3">
            <w:pPr>
              <w:jc w:val="center"/>
            </w:pPr>
            <w:r>
              <w:t>Credit</w:t>
            </w:r>
          </w:p>
        </w:tc>
      </w:tr>
      <w:tr w:rsidR="005827FB" w14:paraId="2515D904" w14:textId="77777777" w:rsidTr="005827FB">
        <w:trPr>
          <w:trHeight w:val="216"/>
          <w:jc w:val="center"/>
        </w:trPr>
        <w:tc>
          <w:tcPr>
            <w:tcW w:w="1343" w:type="dxa"/>
          </w:tcPr>
          <w:p w14:paraId="4010ECB9" w14:textId="58EA5834" w:rsidR="005827FB" w:rsidRDefault="005827FB" w:rsidP="009F02E3">
            <w:pPr>
              <w:jc w:val="center"/>
            </w:pPr>
            <w:r>
              <w:t>A</w:t>
            </w:r>
            <w:r>
              <w:t>sset</w:t>
            </w:r>
          </w:p>
          <w:p w14:paraId="64564CB9" w14:textId="55EEECFF" w:rsidR="005827FB" w:rsidRDefault="005827FB" w:rsidP="009F02E3">
            <w:pPr>
              <w:jc w:val="center"/>
            </w:pPr>
            <w:r>
              <w:t>D</w:t>
            </w:r>
            <w:r>
              <w:t>raw</w:t>
            </w:r>
          </w:p>
          <w:p w14:paraId="5DCA350A" w14:textId="37DD4832" w:rsidR="005827FB" w:rsidRDefault="005827FB" w:rsidP="009F02E3">
            <w:pPr>
              <w:jc w:val="center"/>
            </w:pPr>
            <w:r>
              <w:t>E</w:t>
            </w:r>
            <w:r>
              <w:t>xpense</w:t>
            </w:r>
          </w:p>
        </w:tc>
        <w:tc>
          <w:tcPr>
            <w:tcW w:w="1343" w:type="dxa"/>
          </w:tcPr>
          <w:p w14:paraId="3161A6B0" w14:textId="684F9BEE" w:rsidR="005827FB" w:rsidRDefault="005827FB" w:rsidP="009F02E3">
            <w:pPr>
              <w:jc w:val="center"/>
            </w:pPr>
            <w:r>
              <w:t>L</w:t>
            </w:r>
            <w:r>
              <w:t>iability</w:t>
            </w:r>
          </w:p>
          <w:p w14:paraId="0A44708D" w14:textId="6DD09C6E" w:rsidR="005827FB" w:rsidRDefault="005827FB" w:rsidP="009F02E3">
            <w:pPr>
              <w:jc w:val="center"/>
            </w:pPr>
            <w:r>
              <w:t>E</w:t>
            </w:r>
            <w:r>
              <w:t>quity</w:t>
            </w:r>
          </w:p>
          <w:p w14:paraId="7E9E970D" w14:textId="2DD086FF" w:rsidR="005827FB" w:rsidRDefault="005827FB" w:rsidP="009F02E3">
            <w:pPr>
              <w:jc w:val="center"/>
            </w:pPr>
            <w:r>
              <w:t>R</w:t>
            </w:r>
            <w:r>
              <w:t>evenue</w:t>
            </w:r>
          </w:p>
        </w:tc>
      </w:tr>
    </w:tbl>
    <w:p w14:paraId="6B0607EE" w14:textId="3F276853" w:rsidR="005827FB" w:rsidRDefault="005827FB"/>
    <w:p w14:paraId="75BFA0D5" w14:textId="0F2B9025" w:rsidR="005827FB" w:rsidRDefault="005827FB">
      <w:r>
        <w:t xml:space="preserve">The table above shows what you need to do to </w:t>
      </w:r>
      <w:r>
        <w:rPr>
          <w:i/>
          <w:iCs/>
          <w:u w:val="single"/>
        </w:rPr>
        <w:t>increase</w:t>
      </w:r>
      <w:r>
        <w:t xml:space="preserve"> each account type. For example, to </w:t>
      </w:r>
      <w:r w:rsidRPr="005827FB">
        <w:rPr>
          <w:i/>
          <w:iCs/>
          <w:u w:val="single"/>
        </w:rPr>
        <w:t>increase</w:t>
      </w:r>
      <w:r>
        <w:t xml:space="preserve"> Assets, Draws, or Expenses you </w:t>
      </w:r>
      <w:r w:rsidRPr="005827FB">
        <w:rPr>
          <w:b/>
          <w:bCs/>
        </w:rPr>
        <w:t>debit</w:t>
      </w:r>
      <w:r>
        <w:t xml:space="preserve"> those account types. To </w:t>
      </w:r>
      <w:r>
        <w:rPr>
          <w:i/>
          <w:iCs/>
          <w:u w:val="single"/>
        </w:rPr>
        <w:t xml:space="preserve">increase </w:t>
      </w:r>
      <w:r>
        <w:t xml:space="preserve">Liabilities, Equity, and Revenue you also </w:t>
      </w:r>
      <w:r w:rsidRPr="005827FB">
        <w:rPr>
          <w:b/>
          <w:bCs/>
        </w:rPr>
        <w:t>credit</w:t>
      </w:r>
      <w:r>
        <w:t xml:space="preserve"> these account types.</w:t>
      </w:r>
    </w:p>
    <w:p w14:paraId="15459896" w14:textId="1AF5E6B7" w:rsidR="005827FB" w:rsidRDefault="005827FB">
      <w:r>
        <w:t xml:space="preserve">To </w:t>
      </w:r>
      <w:r w:rsidRPr="005827FB">
        <w:rPr>
          <w:i/>
          <w:iCs/>
          <w:u w:val="single"/>
        </w:rPr>
        <w:t>decrease</w:t>
      </w:r>
      <w:r>
        <w:t xml:space="preserve"> the account types you must do the opposite of what is in the table. For example, you </w:t>
      </w:r>
      <w:r w:rsidRPr="005827FB">
        <w:rPr>
          <w:b/>
          <w:bCs/>
        </w:rPr>
        <w:t>credit</w:t>
      </w:r>
      <w:r>
        <w:t xml:space="preserve"> Assets, Draws, and Expenses to </w:t>
      </w:r>
      <w:r w:rsidRPr="005827FB">
        <w:rPr>
          <w:i/>
          <w:iCs/>
          <w:u w:val="single"/>
        </w:rPr>
        <w:t>decrease</w:t>
      </w:r>
      <w:r>
        <w:t xml:space="preserve"> these account types. To </w:t>
      </w:r>
      <w:r>
        <w:rPr>
          <w:i/>
          <w:iCs/>
          <w:u w:val="single"/>
        </w:rPr>
        <w:t>decrease</w:t>
      </w:r>
      <w:r>
        <w:t xml:space="preserve"> Liabilities, Equity, and Revenue you </w:t>
      </w:r>
      <w:r>
        <w:rPr>
          <w:b/>
          <w:bCs/>
        </w:rPr>
        <w:t>debit</w:t>
      </w:r>
      <w:r>
        <w:t xml:space="preserve"> these account types.</w:t>
      </w:r>
    </w:p>
    <w:p w14:paraId="66A0B24D" w14:textId="2CC48DA3" w:rsidR="005827FB" w:rsidRDefault="005827FB">
      <w:r>
        <w:t xml:space="preserve">All financial transactions are converted into meaning by recording transactions through a journal entry and debiting or crediting the appropriate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5827FB" w14:paraId="27EBCB15" w14:textId="77777777" w:rsidTr="005827FB">
        <w:tc>
          <w:tcPr>
            <w:tcW w:w="3348" w:type="dxa"/>
          </w:tcPr>
          <w:p w14:paraId="461A5555" w14:textId="11FCA9A7" w:rsidR="005827FB" w:rsidRDefault="005827FB">
            <w:r>
              <w:rPr>
                <w:noProof/>
              </w:rPr>
              <w:drawing>
                <wp:inline distT="0" distB="0" distL="0" distR="0" wp14:anchorId="25051927" wp14:editId="4FA2AA75">
                  <wp:extent cx="2009775" cy="24752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1835" cy="2477825"/>
                          </a:xfrm>
                          <a:prstGeom prst="rect">
                            <a:avLst/>
                          </a:prstGeom>
                          <a:noFill/>
                          <a:ln>
                            <a:noFill/>
                          </a:ln>
                        </pic:spPr>
                      </pic:pic>
                    </a:graphicData>
                  </a:graphic>
                </wp:inline>
              </w:drawing>
            </w:r>
          </w:p>
        </w:tc>
        <w:tc>
          <w:tcPr>
            <w:tcW w:w="6228" w:type="dxa"/>
          </w:tcPr>
          <w:p w14:paraId="37C1BBE0" w14:textId="77777777" w:rsidR="001B4A5D" w:rsidRDefault="00951A36" w:rsidP="00951A36">
            <w:r>
              <w:t xml:space="preserve">For every debit there must be a corresponding credit. </w:t>
            </w:r>
          </w:p>
          <w:p w14:paraId="30FC0D4B" w14:textId="51DF5F64" w:rsidR="001B4A5D" w:rsidRDefault="001B4A5D" w:rsidP="00951A36"/>
          <w:p w14:paraId="015B5859" w14:textId="5EF1A03E" w:rsidR="001B4A5D" w:rsidRDefault="001B4A5D" w:rsidP="001B4A5D">
            <w:pPr>
              <w:jc w:val="center"/>
            </w:pPr>
            <w:r>
              <w:t>Debits = Credits</w:t>
            </w:r>
          </w:p>
          <w:p w14:paraId="42BFC46D" w14:textId="77777777" w:rsidR="001B4A5D" w:rsidRDefault="001B4A5D" w:rsidP="00951A36"/>
          <w:p w14:paraId="07AD5221" w14:textId="5096C2E6" w:rsidR="005827FB" w:rsidRDefault="00951A36" w:rsidP="00951A36">
            <w:r>
              <w:t>Therefore, w</w:t>
            </w:r>
            <w:r w:rsidR="005827FB">
              <w:t xml:space="preserve">e can think of debits and credits </w:t>
            </w:r>
            <w:r>
              <w:t>as</w:t>
            </w:r>
            <w:r w:rsidR="001B4A5D">
              <w:t xml:space="preserve"> always</w:t>
            </w:r>
            <w:r>
              <w:t xml:space="preserve"> being in balance, or </w:t>
            </w:r>
            <w:r w:rsidR="001B4A5D">
              <w:t xml:space="preserve">as two sides of a scale that must be equal. </w:t>
            </w:r>
          </w:p>
          <w:p w14:paraId="377A32DD" w14:textId="77777777" w:rsidR="001B4A5D" w:rsidRDefault="001B4A5D" w:rsidP="00951A36"/>
          <w:p w14:paraId="7B48838E" w14:textId="0035B0C4" w:rsidR="001B4A5D" w:rsidRDefault="001B4A5D" w:rsidP="00951A36">
            <w:r>
              <w:t>For example, when a business makes a sale, we know that revenue increases. We can increase revenue by crediting the revenue account. To ensure that debits equal credits we must debit something. If the customer paid with cash (an asset) we can increase the cash by debiting cash and bring the scale back into balance.</w:t>
            </w:r>
          </w:p>
        </w:tc>
      </w:tr>
    </w:tbl>
    <w:p w14:paraId="4110B21F" w14:textId="216DA5C9" w:rsidR="005827FB" w:rsidRPr="005827FB" w:rsidRDefault="00951A36">
      <w:r>
        <w:t>Photo from Unsplash</w:t>
      </w:r>
    </w:p>
    <w:sectPr w:rsidR="005827FB" w:rsidRPr="005827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C2"/>
    <w:rsid w:val="001B4A5D"/>
    <w:rsid w:val="004D0321"/>
    <w:rsid w:val="005827FB"/>
    <w:rsid w:val="005C65E8"/>
    <w:rsid w:val="006958C2"/>
    <w:rsid w:val="00951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4E00"/>
  <w15:chartTrackingRefBased/>
  <w15:docId w15:val="{608BA01B-A5D0-45EC-90B9-026E341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Nickason</dc:creator>
  <cp:keywords/>
  <dc:description/>
  <cp:lastModifiedBy>Kyle Nickason</cp:lastModifiedBy>
  <cp:revision>2</cp:revision>
  <dcterms:created xsi:type="dcterms:W3CDTF">2020-06-24T15:01:00Z</dcterms:created>
  <dcterms:modified xsi:type="dcterms:W3CDTF">2020-06-24T15:28:00Z</dcterms:modified>
</cp:coreProperties>
</file>