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5CF" w:rsidRDefault="00B4416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rsidR="007925CF" w:rsidRDefault="00B44160">
      <w:pPr>
        <w:pStyle w:val="Subtitle"/>
        <w:jc w:val="center"/>
        <w:rPr>
          <w:sz w:val="28"/>
          <w:szCs w:val="28"/>
          <w:u w:val="single"/>
        </w:rPr>
      </w:pPr>
      <w:bookmarkStart w:id="1" w:name="_4lk4e4ouqdig" w:colFirst="0" w:colLast="0"/>
      <w:bookmarkEnd w:id="1"/>
      <w:r>
        <w:rPr>
          <w:sz w:val="28"/>
          <w:szCs w:val="28"/>
        </w:rPr>
        <w:t xml:space="preserve">by </w:t>
      </w:r>
      <w:r w:rsidR="006F3E9E">
        <w:rPr>
          <w:sz w:val="28"/>
          <w:szCs w:val="28"/>
          <w:u w:val="single"/>
        </w:rPr>
        <w:t>Alissa Bigelow, Georgian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7925CF">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5CF" w:rsidRDefault="00B4416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rsidR="007925CF" w:rsidRDefault="00B44160">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rsidR="007925CF" w:rsidRDefault="00B44160">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rsidR="007925CF" w:rsidRDefault="00B44160">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rsidR="007925CF" w:rsidRDefault="00B44160" w:rsidP="00D57DAA">
            <w:pPr>
              <w:spacing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rsidR="00D57DAA" w:rsidRDefault="00D57DAA" w:rsidP="00D57DAA">
            <w:pPr>
              <w:spacing w:line="279" w:lineRule="auto"/>
              <w:ind w:left="160"/>
              <w:rPr>
                <w:rFonts w:ascii="Calibri" w:eastAsia="Calibri" w:hAnsi="Calibri" w:cs="Calibri"/>
                <w:sz w:val="23"/>
                <w:szCs w:val="23"/>
              </w:rPr>
            </w:pPr>
          </w:p>
          <w:p w:rsidR="007925CF" w:rsidRDefault="00D57DAA" w:rsidP="00D57DAA">
            <w:pPr>
              <w:spacing w:line="279" w:lineRule="auto"/>
              <w:ind w:left="160"/>
              <w:rPr>
                <w:rFonts w:ascii="Calibri" w:eastAsia="Calibri" w:hAnsi="Calibri" w:cs="Calibri"/>
                <w:b/>
                <w:sz w:val="23"/>
                <w:szCs w:val="23"/>
              </w:rPr>
            </w:pPr>
            <w:r>
              <w:rPr>
                <w:rFonts w:ascii="Calibri" w:eastAsia="Calibri" w:hAnsi="Calibri" w:cs="Calibri"/>
                <w:sz w:val="23"/>
                <w:szCs w:val="23"/>
              </w:rPr>
              <w:t xml:space="preserve">Is </w:t>
            </w:r>
            <w:proofErr w:type="spellStart"/>
            <w:r>
              <w:rPr>
                <w:rFonts w:ascii="Calibri" w:eastAsia="Calibri" w:hAnsi="Calibri" w:cs="Calibri"/>
                <w:sz w:val="23"/>
                <w:szCs w:val="23"/>
              </w:rPr>
              <w:t>HyFlex</w:t>
            </w:r>
            <w:proofErr w:type="spellEnd"/>
            <w:r>
              <w:rPr>
                <w:rFonts w:ascii="Calibri" w:eastAsia="Calibri" w:hAnsi="Calibri" w:cs="Calibri"/>
                <w:sz w:val="23"/>
                <w:szCs w:val="23"/>
              </w:rPr>
              <w:t xml:space="preserve"> an effective method of delivery for students</w:t>
            </w:r>
            <w:r w:rsidR="003C531A">
              <w:rPr>
                <w:rFonts w:ascii="Calibri" w:eastAsia="Calibri" w:hAnsi="Calibri" w:cs="Calibri"/>
                <w:sz w:val="23"/>
                <w:szCs w:val="23"/>
              </w:rPr>
              <w:t xml:space="preserve"> when </w:t>
            </w:r>
            <w:r w:rsidR="009C3453">
              <w:rPr>
                <w:rFonts w:ascii="Calibri" w:eastAsia="Calibri" w:hAnsi="Calibri" w:cs="Calibri"/>
                <w:sz w:val="23"/>
                <w:szCs w:val="23"/>
              </w:rPr>
              <w:t xml:space="preserve">courses are </w:t>
            </w:r>
            <w:r w:rsidR="003C531A">
              <w:rPr>
                <w:rFonts w:ascii="Calibri" w:eastAsia="Calibri" w:hAnsi="Calibri" w:cs="Calibri"/>
                <w:sz w:val="23"/>
                <w:szCs w:val="23"/>
              </w:rPr>
              <w:t>designed with intentionality</w:t>
            </w:r>
            <w:r w:rsidR="009C3453">
              <w:rPr>
                <w:rFonts w:ascii="Calibri" w:eastAsia="Calibri" w:hAnsi="Calibri" w:cs="Calibri"/>
                <w:sz w:val="23"/>
                <w:szCs w:val="23"/>
              </w:rPr>
              <w:t xml:space="preserve"> and multi delivery modalities in mind</w:t>
            </w:r>
            <w:r>
              <w:rPr>
                <w:rFonts w:ascii="Calibri" w:eastAsia="Calibri" w:hAnsi="Calibri" w:cs="Calibri"/>
                <w:sz w:val="23"/>
                <w:szCs w:val="23"/>
              </w:rPr>
              <w:t>?</w:t>
            </w:r>
            <w:r w:rsidR="003A72CF">
              <w:rPr>
                <w:rFonts w:ascii="Calibri" w:eastAsia="Calibri" w:hAnsi="Calibri" w:cs="Calibri"/>
                <w:sz w:val="23"/>
                <w:szCs w:val="23"/>
              </w:rPr>
              <w:t xml:space="preserve"> </w:t>
            </w:r>
          </w:p>
        </w:tc>
      </w:tr>
      <w:tr w:rsidR="007925CF">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25CF" w:rsidRDefault="00B44160">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 is related to your question.</w:t>
            </w:r>
          </w:p>
          <w:p w:rsidR="007925CF" w:rsidRDefault="00B44160" w:rsidP="003C531A">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rsidR="003C531A" w:rsidRPr="00B969C8" w:rsidRDefault="00B969C8" w:rsidP="003C531A">
            <w:pPr>
              <w:spacing w:line="280" w:lineRule="auto"/>
              <w:ind w:left="160" w:right="140"/>
              <w:rPr>
                <w:rFonts w:ascii="Calibri" w:eastAsia="Calibri" w:hAnsi="Calibri" w:cs="Calibri"/>
                <w:b/>
                <w:sz w:val="23"/>
                <w:szCs w:val="23"/>
              </w:rPr>
            </w:pPr>
            <w:r w:rsidRPr="00B969C8">
              <w:rPr>
                <w:rFonts w:ascii="Calibri" w:eastAsia="Calibri" w:hAnsi="Calibri" w:cs="Calibri"/>
                <w:b/>
                <w:sz w:val="23"/>
                <w:szCs w:val="23"/>
              </w:rPr>
              <w:t>Challenges:</w:t>
            </w:r>
          </w:p>
          <w:p w:rsidR="00B969C8" w:rsidRDefault="00B969C8" w:rsidP="00B969C8">
            <w:pPr>
              <w:pStyle w:val="ListParagraph"/>
              <w:numPr>
                <w:ilvl w:val="0"/>
                <w:numId w:val="3"/>
              </w:numPr>
              <w:spacing w:line="280" w:lineRule="auto"/>
              <w:ind w:left="705" w:right="140" w:hanging="355"/>
              <w:rPr>
                <w:rFonts w:ascii="Calibri" w:eastAsia="Calibri" w:hAnsi="Calibri" w:cs="Calibri"/>
                <w:sz w:val="23"/>
                <w:szCs w:val="23"/>
              </w:rPr>
            </w:pPr>
            <w:r>
              <w:rPr>
                <w:rFonts w:ascii="Calibri" w:eastAsia="Calibri" w:hAnsi="Calibri" w:cs="Calibri"/>
                <w:sz w:val="23"/>
                <w:szCs w:val="23"/>
              </w:rPr>
              <w:t>Are students mature enough/ready to choose a methodology by which they can actually learn the course content?</w:t>
            </w:r>
          </w:p>
          <w:p w:rsidR="004109DA" w:rsidRDefault="004109DA" w:rsidP="004109DA">
            <w:pPr>
              <w:pStyle w:val="ListParagraph"/>
              <w:numPr>
                <w:ilvl w:val="0"/>
                <w:numId w:val="3"/>
              </w:numPr>
              <w:spacing w:line="280" w:lineRule="auto"/>
              <w:ind w:left="705" w:right="140" w:hanging="355"/>
              <w:rPr>
                <w:rFonts w:ascii="Calibri" w:eastAsia="Calibri" w:hAnsi="Calibri" w:cs="Calibri"/>
                <w:sz w:val="23"/>
                <w:szCs w:val="23"/>
              </w:rPr>
            </w:pPr>
            <w:r>
              <w:rPr>
                <w:rFonts w:ascii="Calibri" w:eastAsia="Calibri" w:hAnsi="Calibri" w:cs="Calibri"/>
                <w:sz w:val="23"/>
                <w:szCs w:val="23"/>
              </w:rPr>
              <w:t xml:space="preserve">Is the faculty development program sufficient PD to shift their delivery to a </w:t>
            </w:r>
            <w:proofErr w:type="spellStart"/>
            <w:r>
              <w:rPr>
                <w:rFonts w:ascii="Calibri" w:eastAsia="Calibri" w:hAnsi="Calibri" w:cs="Calibri"/>
                <w:sz w:val="23"/>
                <w:szCs w:val="23"/>
              </w:rPr>
              <w:t>HyFlex</w:t>
            </w:r>
            <w:proofErr w:type="spellEnd"/>
            <w:r>
              <w:rPr>
                <w:rFonts w:ascii="Calibri" w:eastAsia="Calibri" w:hAnsi="Calibri" w:cs="Calibri"/>
                <w:sz w:val="23"/>
                <w:szCs w:val="23"/>
              </w:rPr>
              <w:t xml:space="preserve"> methodology?</w:t>
            </w:r>
          </w:p>
          <w:p w:rsidR="009C3453" w:rsidRDefault="00B969C8" w:rsidP="00B969C8">
            <w:pPr>
              <w:pStyle w:val="ListParagraph"/>
              <w:numPr>
                <w:ilvl w:val="0"/>
                <w:numId w:val="3"/>
              </w:numPr>
              <w:spacing w:line="280" w:lineRule="auto"/>
              <w:ind w:left="705" w:right="140" w:hanging="355"/>
              <w:rPr>
                <w:rFonts w:ascii="Calibri" w:eastAsia="Calibri" w:hAnsi="Calibri" w:cs="Calibri"/>
                <w:sz w:val="23"/>
                <w:szCs w:val="23"/>
              </w:rPr>
            </w:pPr>
            <w:r>
              <w:rPr>
                <w:rFonts w:ascii="Calibri" w:eastAsia="Calibri" w:hAnsi="Calibri" w:cs="Calibri"/>
                <w:sz w:val="23"/>
                <w:szCs w:val="23"/>
              </w:rPr>
              <w:t>Is the technology to facilitate the in-class &amp; online components easy for faculty and students to use, appropriate for the context?</w:t>
            </w:r>
          </w:p>
          <w:p w:rsidR="00B969C8" w:rsidRDefault="00B969C8" w:rsidP="00B969C8">
            <w:pPr>
              <w:spacing w:line="280" w:lineRule="auto"/>
              <w:ind w:left="165" w:right="140"/>
              <w:rPr>
                <w:rFonts w:ascii="Calibri" w:eastAsia="Calibri" w:hAnsi="Calibri" w:cs="Calibri"/>
                <w:b/>
                <w:sz w:val="23"/>
                <w:szCs w:val="23"/>
              </w:rPr>
            </w:pPr>
            <w:r w:rsidRPr="00B969C8">
              <w:rPr>
                <w:rFonts w:ascii="Calibri" w:eastAsia="Calibri" w:hAnsi="Calibri" w:cs="Calibri"/>
                <w:b/>
                <w:sz w:val="23"/>
                <w:szCs w:val="23"/>
              </w:rPr>
              <w:t>Outcomes</w:t>
            </w:r>
            <w:r>
              <w:rPr>
                <w:rFonts w:ascii="Calibri" w:eastAsia="Calibri" w:hAnsi="Calibri" w:cs="Calibri"/>
                <w:b/>
                <w:sz w:val="23"/>
                <w:szCs w:val="23"/>
              </w:rPr>
              <w:t>:</w:t>
            </w:r>
          </w:p>
          <w:p w:rsidR="00B969C8" w:rsidRDefault="00B969C8" w:rsidP="00B969C8">
            <w:pPr>
              <w:pStyle w:val="ListParagraph"/>
              <w:numPr>
                <w:ilvl w:val="0"/>
                <w:numId w:val="5"/>
              </w:numPr>
              <w:spacing w:line="280" w:lineRule="auto"/>
              <w:ind w:right="140"/>
              <w:rPr>
                <w:rFonts w:ascii="Calibri" w:eastAsia="Calibri" w:hAnsi="Calibri" w:cs="Calibri"/>
                <w:szCs w:val="23"/>
              </w:rPr>
            </w:pPr>
            <w:r>
              <w:rPr>
                <w:rFonts w:ascii="Calibri" w:eastAsia="Calibri" w:hAnsi="Calibri" w:cs="Calibri"/>
                <w:szCs w:val="23"/>
              </w:rPr>
              <w:t>Determine student and faculty readiness for this type of teaching and learning modality</w:t>
            </w:r>
            <w:r w:rsidR="004109DA">
              <w:rPr>
                <w:rFonts w:ascii="Calibri" w:eastAsia="Calibri" w:hAnsi="Calibri" w:cs="Calibri"/>
                <w:szCs w:val="23"/>
              </w:rPr>
              <w:t xml:space="preserve"> (pedagogical &amp; tech).</w:t>
            </w:r>
          </w:p>
          <w:p w:rsidR="00B969C8" w:rsidRDefault="004109DA" w:rsidP="00B969C8">
            <w:pPr>
              <w:pStyle w:val="ListParagraph"/>
              <w:numPr>
                <w:ilvl w:val="0"/>
                <w:numId w:val="5"/>
              </w:numPr>
              <w:spacing w:line="280" w:lineRule="auto"/>
              <w:ind w:right="140"/>
              <w:rPr>
                <w:rFonts w:ascii="Calibri" w:eastAsia="Calibri" w:hAnsi="Calibri" w:cs="Calibri"/>
                <w:szCs w:val="23"/>
              </w:rPr>
            </w:pPr>
            <w:r>
              <w:rPr>
                <w:rFonts w:ascii="Calibri" w:eastAsia="Calibri" w:hAnsi="Calibri" w:cs="Calibri"/>
                <w:szCs w:val="23"/>
              </w:rPr>
              <w:t>Establish if student success increases or decreases through this type of modality.</w:t>
            </w:r>
          </w:p>
          <w:p w:rsidR="004109DA" w:rsidRPr="00B969C8" w:rsidRDefault="004109DA" w:rsidP="00B969C8">
            <w:pPr>
              <w:pStyle w:val="ListParagraph"/>
              <w:numPr>
                <w:ilvl w:val="0"/>
                <w:numId w:val="5"/>
              </w:numPr>
              <w:spacing w:line="280" w:lineRule="auto"/>
              <w:ind w:right="140"/>
              <w:rPr>
                <w:rFonts w:ascii="Calibri" w:eastAsia="Calibri" w:hAnsi="Calibri" w:cs="Calibri"/>
                <w:szCs w:val="23"/>
              </w:rPr>
            </w:pPr>
            <w:r>
              <w:rPr>
                <w:rFonts w:ascii="Calibri" w:eastAsia="Calibri" w:hAnsi="Calibri" w:cs="Calibri"/>
                <w:szCs w:val="23"/>
              </w:rPr>
              <w:t>Review and evaluate faculty development program to determine if meeting the needs of faculty and contributing to the success of the initiative.</w:t>
            </w:r>
          </w:p>
        </w:tc>
      </w:tr>
      <w:tr w:rsidR="007925CF">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25CF" w:rsidRDefault="00B4416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rsidR="003C531A" w:rsidRDefault="00B44160" w:rsidP="009C3453">
            <w:pPr>
              <w:spacing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rsidR="009C3453" w:rsidRDefault="009C3453" w:rsidP="009C3453">
            <w:pPr>
              <w:ind w:left="165"/>
              <w:rPr>
                <w:rFonts w:asciiTheme="majorHAnsi" w:hAnsiTheme="majorHAnsi" w:cstheme="majorHAnsi"/>
                <w:bCs/>
                <w:shd w:val="clear" w:color="auto" w:fill="FFFFFF"/>
              </w:rPr>
            </w:pPr>
          </w:p>
          <w:p w:rsidR="004109DA" w:rsidRDefault="009C3453" w:rsidP="004109DA">
            <w:pPr>
              <w:ind w:left="165"/>
              <w:rPr>
                <w:rFonts w:asciiTheme="majorHAnsi" w:hAnsiTheme="majorHAnsi" w:cstheme="majorHAnsi"/>
                <w:shd w:val="clear" w:color="auto" w:fill="FFFFFF"/>
              </w:rPr>
            </w:pPr>
            <w:proofErr w:type="spellStart"/>
            <w:r w:rsidRPr="009C3453">
              <w:rPr>
                <w:rFonts w:asciiTheme="majorHAnsi" w:hAnsiTheme="majorHAnsi" w:cstheme="majorHAnsi"/>
                <w:bCs/>
                <w:shd w:val="clear" w:color="auto" w:fill="FFFFFF"/>
              </w:rPr>
              <w:t>HyFlex</w:t>
            </w:r>
            <w:proofErr w:type="spellEnd"/>
            <w:r w:rsidRPr="009C3453">
              <w:rPr>
                <w:rFonts w:asciiTheme="majorHAnsi" w:hAnsiTheme="majorHAnsi" w:cstheme="majorHAnsi"/>
                <w:shd w:val="clear" w:color="auto" w:fill="FFFFFF"/>
              </w:rPr>
              <w:t> is a course design model that presents the components of hybrid learning in a flexible course structure that gives students the option of attending sessions in the classroom, participating online, or doing both. Students can change their mode of attendance weekly or by topic, according to need or preference.</w:t>
            </w:r>
            <w:r>
              <w:rPr>
                <w:rFonts w:asciiTheme="majorHAnsi" w:hAnsiTheme="majorHAnsi" w:cstheme="majorHAnsi"/>
                <w:shd w:val="clear" w:color="auto" w:fill="FFFFFF"/>
              </w:rPr>
              <w:t xml:space="preserve"> (</w:t>
            </w:r>
            <w:hyperlink r:id="rId5" w:anchor=":~:text=HyFlex%20is%20a%20course%20design,according%20to%20need%20or%20preference" w:history="1">
              <w:r w:rsidR="004109DA">
                <w:rPr>
                  <w:rStyle w:val="Hyperlink"/>
                  <w:rFonts w:asciiTheme="majorHAnsi" w:hAnsiTheme="majorHAnsi" w:cstheme="majorHAnsi"/>
                  <w:shd w:val="clear" w:color="auto" w:fill="FFFFFF"/>
                </w:rPr>
                <w:t>Northern Illinois University, 2021</w:t>
              </w:r>
            </w:hyperlink>
            <w:r w:rsidR="004109DA">
              <w:rPr>
                <w:rFonts w:asciiTheme="majorHAnsi" w:hAnsiTheme="majorHAnsi" w:cstheme="majorHAnsi"/>
                <w:shd w:val="clear" w:color="auto" w:fill="FFFFFF"/>
              </w:rPr>
              <w:t xml:space="preserve">). </w:t>
            </w:r>
          </w:p>
          <w:p w:rsidR="004109DA" w:rsidRDefault="004109DA" w:rsidP="004109DA">
            <w:pPr>
              <w:ind w:left="165"/>
              <w:rPr>
                <w:rFonts w:asciiTheme="majorHAnsi" w:eastAsia="Calibri" w:hAnsiTheme="majorHAnsi" w:cstheme="majorHAnsi"/>
                <w:sz w:val="23"/>
                <w:szCs w:val="23"/>
              </w:rPr>
            </w:pPr>
          </w:p>
          <w:p w:rsidR="008406FE" w:rsidRPr="004109DA" w:rsidRDefault="008406FE" w:rsidP="004109DA">
            <w:pPr>
              <w:ind w:left="165"/>
              <w:rPr>
                <w:rFonts w:asciiTheme="majorHAnsi" w:hAnsiTheme="majorHAnsi" w:cstheme="majorHAnsi"/>
                <w:shd w:val="clear" w:color="auto" w:fill="FFFFFF"/>
              </w:rPr>
            </w:pPr>
            <w:r>
              <w:rPr>
                <w:rFonts w:asciiTheme="majorHAnsi" w:eastAsia="Calibri" w:hAnsiTheme="majorHAnsi" w:cstheme="majorHAnsi"/>
                <w:sz w:val="23"/>
                <w:szCs w:val="23"/>
              </w:rPr>
              <w:t>As post-secondary student enrolment numbers</w:t>
            </w:r>
            <w:r w:rsidR="00F3249D">
              <w:rPr>
                <w:rFonts w:asciiTheme="majorHAnsi" w:eastAsia="Calibri" w:hAnsiTheme="majorHAnsi" w:cstheme="majorHAnsi"/>
                <w:sz w:val="23"/>
                <w:szCs w:val="23"/>
              </w:rPr>
              <w:t xml:space="preserve"> continue to</w:t>
            </w:r>
            <w:r>
              <w:rPr>
                <w:rFonts w:asciiTheme="majorHAnsi" w:eastAsia="Calibri" w:hAnsiTheme="majorHAnsi" w:cstheme="majorHAnsi"/>
                <w:sz w:val="23"/>
                <w:szCs w:val="23"/>
              </w:rPr>
              <w:t xml:space="preserve"> decline for a number of reasons, institutions are searching for ways to be seen as innovative and offer maximum flexibility with how and when students receive their education. Up until</w:t>
            </w:r>
            <w:r w:rsidR="003066AC">
              <w:rPr>
                <w:rFonts w:asciiTheme="majorHAnsi" w:eastAsia="Calibri" w:hAnsiTheme="majorHAnsi" w:cstheme="majorHAnsi"/>
                <w:sz w:val="23"/>
                <w:szCs w:val="23"/>
              </w:rPr>
              <w:t xml:space="preserve"> the COVID-19 pandemic in</w:t>
            </w:r>
            <w:r>
              <w:rPr>
                <w:rFonts w:asciiTheme="majorHAnsi" w:eastAsia="Calibri" w:hAnsiTheme="majorHAnsi" w:cstheme="majorHAnsi"/>
                <w:sz w:val="23"/>
                <w:szCs w:val="23"/>
              </w:rPr>
              <w:t xml:space="preserve"> 2020, this flexibility was typically offered in a Hybrid course delivery modality with a blend of in-class and online learning opportunities pre-determined by the instructor. Many institutions are </w:t>
            </w:r>
            <w:r w:rsidR="003066AC">
              <w:rPr>
                <w:rFonts w:asciiTheme="majorHAnsi" w:eastAsia="Calibri" w:hAnsiTheme="majorHAnsi" w:cstheme="majorHAnsi"/>
                <w:sz w:val="23"/>
                <w:szCs w:val="23"/>
              </w:rPr>
              <w:t xml:space="preserve">now </w:t>
            </w:r>
            <w:r>
              <w:rPr>
                <w:rFonts w:asciiTheme="majorHAnsi" w:eastAsia="Calibri" w:hAnsiTheme="majorHAnsi" w:cstheme="majorHAnsi"/>
                <w:sz w:val="23"/>
                <w:szCs w:val="23"/>
              </w:rPr>
              <w:t xml:space="preserve">investigating </w:t>
            </w:r>
            <w:proofErr w:type="spellStart"/>
            <w:r>
              <w:rPr>
                <w:rFonts w:asciiTheme="majorHAnsi" w:eastAsia="Calibri" w:hAnsiTheme="majorHAnsi" w:cstheme="majorHAnsi"/>
                <w:sz w:val="23"/>
                <w:szCs w:val="23"/>
              </w:rPr>
              <w:t>HyFlex</w:t>
            </w:r>
            <w:proofErr w:type="spellEnd"/>
            <w:r>
              <w:rPr>
                <w:rFonts w:asciiTheme="majorHAnsi" w:eastAsia="Calibri" w:hAnsiTheme="majorHAnsi" w:cstheme="majorHAnsi"/>
                <w:sz w:val="23"/>
                <w:szCs w:val="23"/>
              </w:rPr>
              <w:t xml:space="preserve"> delivery as an option to offer even more flexibility</w:t>
            </w:r>
            <w:r w:rsidR="003066AC">
              <w:rPr>
                <w:rFonts w:asciiTheme="majorHAnsi" w:eastAsia="Calibri" w:hAnsiTheme="majorHAnsi" w:cstheme="majorHAnsi"/>
                <w:sz w:val="23"/>
                <w:szCs w:val="23"/>
              </w:rPr>
              <w:t>,</w:t>
            </w:r>
            <w:r>
              <w:rPr>
                <w:rFonts w:asciiTheme="majorHAnsi" w:eastAsia="Calibri" w:hAnsiTheme="majorHAnsi" w:cstheme="majorHAnsi"/>
                <w:sz w:val="23"/>
                <w:szCs w:val="23"/>
              </w:rPr>
              <w:t xml:space="preserve"> as it will enable the student</w:t>
            </w:r>
            <w:r w:rsidR="003066AC">
              <w:rPr>
                <w:rFonts w:asciiTheme="majorHAnsi" w:eastAsia="Calibri" w:hAnsiTheme="majorHAnsi" w:cstheme="majorHAnsi"/>
                <w:sz w:val="23"/>
                <w:szCs w:val="23"/>
              </w:rPr>
              <w:t>s</w:t>
            </w:r>
            <w:r>
              <w:rPr>
                <w:rFonts w:asciiTheme="majorHAnsi" w:eastAsia="Calibri" w:hAnsiTheme="majorHAnsi" w:cstheme="majorHAnsi"/>
                <w:sz w:val="23"/>
                <w:szCs w:val="23"/>
              </w:rPr>
              <w:t xml:space="preserve"> to choose whether they attend the campus, participate online synchronously via video conference software or if they participate asynchronously online each week. </w:t>
            </w:r>
          </w:p>
          <w:p w:rsidR="003066AC" w:rsidRDefault="003066AC" w:rsidP="009C3453">
            <w:pPr>
              <w:ind w:left="165"/>
              <w:rPr>
                <w:rFonts w:asciiTheme="majorHAnsi" w:eastAsia="Calibri" w:hAnsiTheme="majorHAnsi" w:cstheme="majorHAnsi"/>
                <w:sz w:val="23"/>
                <w:szCs w:val="23"/>
              </w:rPr>
            </w:pPr>
          </w:p>
          <w:p w:rsidR="003066AC" w:rsidRPr="009C3453" w:rsidRDefault="004109DA" w:rsidP="009C3453">
            <w:pPr>
              <w:ind w:left="165"/>
              <w:rPr>
                <w:rFonts w:asciiTheme="majorHAnsi" w:eastAsia="Calibri" w:hAnsiTheme="majorHAnsi" w:cstheme="majorHAnsi"/>
                <w:sz w:val="23"/>
                <w:szCs w:val="23"/>
              </w:rPr>
            </w:pPr>
            <w:r>
              <w:rPr>
                <w:rFonts w:asciiTheme="majorHAnsi" w:eastAsia="Calibri" w:hAnsiTheme="majorHAnsi" w:cstheme="majorHAnsi"/>
                <w:sz w:val="23"/>
                <w:szCs w:val="23"/>
              </w:rPr>
              <w:t>The Centre for Teaching and Learning at Georgian College</w:t>
            </w:r>
            <w:r w:rsidR="003066AC">
              <w:rPr>
                <w:rFonts w:asciiTheme="majorHAnsi" w:eastAsia="Calibri" w:hAnsiTheme="majorHAnsi" w:cstheme="majorHAnsi"/>
                <w:sz w:val="23"/>
                <w:szCs w:val="23"/>
              </w:rPr>
              <w:t xml:space="preserve"> is beginning to form a faculty development plan that will guide faculty through the </w:t>
            </w:r>
            <w:proofErr w:type="spellStart"/>
            <w:r w:rsidR="003066AC">
              <w:rPr>
                <w:rFonts w:asciiTheme="majorHAnsi" w:eastAsia="Calibri" w:hAnsiTheme="majorHAnsi" w:cstheme="majorHAnsi"/>
                <w:sz w:val="23"/>
                <w:szCs w:val="23"/>
              </w:rPr>
              <w:t>HyFlex</w:t>
            </w:r>
            <w:proofErr w:type="spellEnd"/>
            <w:r w:rsidR="003066AC">
              <w:rPr>
                <w:rFonts w:asciiTheme="majorHAnsi" w:eastAsia="Calibri" w:hAnsiTheme="majorHAnsi" w:cstheme="majorHAnsi"/>
                <w:sz w:val="23"/>
                <w:szCs w:val="23"/>
              </w:rPr>
              <w:t xml:space="preserve"> course design process </w:t>
            </w:r>
            <w:r w:rsidR="0002710E">
              <w:rPr>
                <w:rFonts w:asciiTheme="majorHAnsi" w:eastAsia="Calibri" w:hAnsiTheme="majorHAnsi" w:cstheme="majorHAnsi"/>
                <w:sz w:val="23"/>
                <w:szCs w:val="23"/>
              </w:rPr>
              <w:t xml:space="preserve">in which assessments, activities and engagement opportunities will be carefully designed to accommodate all three delivery modalities so </w:t>
            </w:r>
            <w:r w:rsidR="006F3E9E">
              <w:rPr>
                <w:rFonts w:asciiTheme="majorHAnsi" w:eastAsia="Calibri" w:hAnsiTheme="majorHAnsi" w:cstheme="majorHAnsi"/>
                <w:sz w:val="23"/>
                <w:szCs w:val="23"/>
              </w:rPr>
              <w:t xml:space="preserve">that </w:t>
            </w:r>
            <w:r w:rsidR="0002710E">
              <w:rPr>
                <w:rFonts w:asciiTheme="majorHAnsi" w:eastAsia="Calibri" w:hAnsiTheme="majorHAnsi" w:cstheme="majorHAnsi"/>
                <w:sz w:val="23"/>
                <w:szCs w:val="23"/>
              </w:rPr>
              <w:t xml:space="preserve">regardless of which path a </w:t>
            </w:r>
            <w:proofErr w:type="spellStart"/>
            <w:proofErr w:type="gramStart"/>
            <w:r w:rsidR="0002710E">
              <w:rPr>
                <w:rFonts w:asciiTheme="majorHAnsi" w:eastAsia="Calibri" w:hAnsiTheme="majorHAnsi" w:cstheme="majorHAnsi"/>
                <w:sz w:val="23"/>
                <w:szCs w:val="23"/>
              </w:rPr>
              <w:t>students</w:t>
            </w:r>
            <w:proofErr w:type="spellEnd"/>
            <w:proofErr w:type="gramEnd"/>
            <w:r w:rsidR="0002710E">
              <w:rPr>
                <w:rFonts w:asciiTheme="majorHAnsi" w:eastAsia="Calibri" w:hAnsiTheme="majorHAnsi" w:cstheme="majorHAnsi"/>
                <w:sz w:val="23"/>
                <w:szCs w:val="23"/>
              </w:rPr>
              <w:t xml:space="preserve"> takes</w:t>
            </w:r>
            <w:r w:rsidR="006F3E9E">
              <w:rPr>
                <w:rFonts w:asciiTheme="majorHAnsi" w:eastAsia="Calibri" w:hAnsiTheme="majorHAnsi" w:cstheme="majorHAnsi"/>
                <w:sz w:val="23"/>
                <w:szCs w:val="23"/>
              </w:rPr>
              <w:t xml:space="preserve"> to complete the course</w:t>
            </w:r>
            <w:r w:rsidR="0002710E">
              <w:rPr>
                <w:rFonts w:asciiTheme="majorHAnsi" w:eastAsia="Calibri" w:hAnsiTheme="majorHAnsi" w:cstheme="majorHAnsi"/>
                <w:sz w:val="23"/>
                <w:szCs w:val="23"/>
              </w:rPr>
              <w:t xml:space="preserve">, they will meet the learning outcomes. </w:t>
            </w:r>
          </w:p>
        </w:tc>
      </w:tr>
      <w:tr w:rsidR="007925CF">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25CF" w:rsidRDefault="00B44160">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rsidR="009C3453" w:rsidRDefault="00B44160" w:rsidP="003A72CF">
            <w:pPr>
              <w:spacing w:line="28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rsidR="003A72CF" w:rsidRDefault="003A72CF" w:rsidP="003A72CF">
            <w:pPr>
              <w:spacing w:line="280" w:lineRule="auto"/>
              <w:ind w:left="160" w:right="180"/>
              <w:rPr>
                <w:rFonts w:ascii="Calibri" w:eastAsia="Calibri" w:hAnsi="Calibri" w:cs="Calibri"/>
                <w:sz w:val="23"/>
                <w:szCs w:val="23"/>
              </w:rPr>
            </w:pPr>
          </w:p>
          <w:p w:rsidR="0002710E" w:rsidRDefault="0002710E" w:rsidP="0002710E">
            <w:pPr>
              <w:pStyle w:val="ListParagraph"/>
              <w:numPr>
                <w:ilvl w:val="0"/>
                <w:numId w:val="1"/>
              </w:numPr>
              <w:spacing w:after="2300" w:line="280" w:lineRule="auto"/>
              <w:ind w:right="140"/>
              <w:rPr>
                <w:rFonts w:ascii="Calibri" w:eastAsia="Calibri" w:hAnsi="Calibri" w:cs="Calibri"/>
                <w:sz w:val="23"/>
                <w:szCs w:val="23"/>
              </w:rPr>
            </w:pPr>
            <w:r>
              <w:rPr>
                <w:rFonts w:ascii="Calibri" w:eastAsia="Calibri" w:hAnsi="Calibri" w:cs="Calibri"/>
                <w:sz w:val="23"/>
                <w:szCs w:val="23"/>
              </w:rPr>
              <w:t>Do grades increase or decrease in these environments?</w:t>
            </w:r>
          </w:p>
          <w:p w:rsidR="0002710E" w:rsidRDefault="0002710E" w:rsidP="0002710E">
            <w:pPr>
              <w:pStyle w:val="ListParagraph"/>
              <w:numPr>
                <w:ilvl w:val="0"/>
                <w:numId w:val="1"/>
              </w:numPr>
              <w:spacing w:after="2300" w:line="280" w:lineRule="auto"/>
              <w:ind w:right="140"/>
              <w:rPr>
                <w:rFonts w:ascii="Calibri" w:eastAsia="Calibri" w:hAnsi="Calibri" w:cs="Calibri"/>
                <w:sz w:val="23"/>
                <w:szCs w:val="23"/>
              </w:rPr>
            </w:pPr>
            <w:r w:rsidRPr="003C531A">
              <w:rPr>
                <w:rFonts w:ascii="Calibri" w:eastAsia="Calibri" w:hAnsi="Calibri" w:cs="Calibri"/>
                <w:sz w:val="23"/>
                <w:szCs w:val="23"/>
              </w:rPr>
              <w:t>student retention</w:t>
            </w:r>
            <w:r>
              <w:rPr>
                <w:rFonts w:ascii="Calibri" w:eastAsia="Calibri" w:hAnsi="Calibri" w:cs="Calibri"/>
                <w:sz w:val="23"/>
                <w:szCs w:val="23"/>
              </w:rPr>
              <w:t xml:space="preserve"> numbers up or down?</w:t>
            </w:r>
          </w:p>
          <w:p w:rsidR="0002710E" w:rsidRDefault="0002710E" w:rsidP="0002710E">
            <w:pPr>
              <w:pStyle w:val="ListParagraph"/>
              <w:numPr>
                <w:ilvl w:val="0"/>
                <w:numId w:val="1"/>
              </w:numPr>
              <w:spacing w:line="280" w:lineRule="auto"/>
              <w:ind w:right="140"/>
              <w:rPr>
                <w:rFonts w:ascii="Calibri" w:eastAsia="Calibri" w:hAnsi="Calibri" w:cs="Calibri"/>
                <w:sz w:val="23"/>
                <w:szCs w:val="23"/>
              </w:rPr>
            </w:pPr>
            <w:r>
              <w:rPr>
                <w:rFonts w:ascii="Calibri" w:eastAsia="Calibri" w:hAnsi="Calibri" w:cs="Calibri"/>
                <w:sz w:val="23"/>
                <w:szCs w:val="23"/>
              </w:rPr>
              <w:t>What are attendance statistics for each delivery modality each week?</w:t>
            </w:r>
          </w:p>
          <w:p w:rsidR="0002710E" w:rsidRPr="0002710E" w:rsidRDefault="0002710E" w:rsidP="0002710E">
            <w:pPr>
              <w:pStyle w:val="ListParagraph"/>
              <w:numPr>
                <w:ilvl w:val="0"/>
                <w:numId w:val="1"/>
              </w:numPr>
              <w:spacing w:line="280" w:lineRule="auto"/>
              <w:ind w:right="140"/>
              <w:rPr>
                <w:rFonts w:ascii="Calibri" w:eastAsia="Calibri" w:hAnsi="Calibri" w:cs="Calibri"/>
                <w:sz w:val="23"/>
                <w:szCs w:val="23"/>
              </w:rPr>
            </w:pPr>
            <w:r w:rsidRPr="0002710E">
              <w:rPr>
                <w:rFonts w:ascii="Calibri" w:eastAsia="Calibri" w:hAnsi="Calibri" w:cs="Calibri"/>
                <w:sz w:val="23"/>
                <w:szCs w:val="23"/>
              </w:rPr>
              <w:t>How do the students feel? Gather student feedback (readiness survey, preferences, post survey)</w:t>
            </w:r>
          </w:p>
        </w:tc>
      </w:tr>
      <w:tr w:rsidR="007925CF" w:rsidTr="005F4BC5">
        <w:trPr>
          <w:trHeight w:val="1160"/>
        </w:trPr>
        <w:tc>
          <w:tcPr>
            <w:tcW w:w="9065" w:type="dxa"/>
            <w:tcBorders>
              <w:left w:val="single" w:sz="8" w:space="0" w:color="000000"/>
              <w:bottom w:val="single" w:sz="4" w:space="0" w:color="auto"/>
              <w:right w:val="single" w:sz="8" w:space="0" w:color="000000"/>
            </w:tcBorders>
            <w:tcMar>
              <w:top w:w="100" w:type="dxa"/>
              <w:left w:w="100" w:type="dxa"/>
              <w:bottom w:w="100" w:type="dxa"/>
              <w:right w:w="100" w:type="dxa"/>
            </w:tcMar>
          </w:tcPr>
          <w:p w:rsidR="007925CF" w:rsidRDefault="00B44160" w:rsidP="009C3453">
            <w:pPr>
              <w:spacing w:before="8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rsidR="009C3453" w:rsidRDefault="003A72CF" w:rsidP="003A72CF">
            <w:pPr>
              <w:pStyle w:val="ListParagraph"/>
              <w:numPr>
                <w:ilvl w:val="0"/>
                <w:numId w:val="2"/>
              </w:numPr>
              <w:spacing w:before="80" w:line="306" w:lineRule="auto"/>
              <w:rPr>
                <w:rFonts w:ascii="Calibri" w:eastAsia="Calibri" w:hAnsi="Calibri" w:cs="Calibri"/>
                <w:szCs w:val="25"/>
              </w:rPr>
            </w:pPr>
            <w:r w:rsidRPr="003A72CF">
              <w:rPr>
                <w:rFonts w:ascii="Calibri" w:eastAsia="Calibri" w:hAnsi="Calibri" w:cs="Calibri"/>
                <w:szCs w:val="25"/>
              </w:rPr>
              <w:t>Internally within our institution</w:t>
            </w:r>
          </w:p>
          <w:p w:rsidR="00F3249D" w:rsidRPr="003A72CF" w:rsidRDefault="00005FEA" w:rsidP="003A72CF">
            <w:pPr>
              <w:pStyle w:val="ListParagraph"/>
              <w:numPr>
                <w:ilvl w:val="0"/>
                <w:numId w:val="2"/>
              </w:numPr>
              <w:spacing w:before="80" w:line="306" w:lineRule="auto"/>
              <w:rPr>
                <w:rFonts w:ascii="Calibri" w:eastAsia="Calibri" w:hAnsi="Calibri" w:cs="Calibri"/>
                <w:szCs w:val="25"/>
              </w:rPr>
            </w:pPr>
            <w:r>
              <w:rPr>
                <w:rFonts w:ascii="Calibri" w:eastAsia="Calibri" w:hAnsi="Calibri" w:cs="Calibri"/>
                <w:szCs w:val="25"/>
              </w:rPr>
              <w:t>Society of Teaching and Learning in Higher Education (STLHE), Advancing Learning Conference, other provincial educational conferences</w:t>
            </w:r>
          </w:p>
          <w:p w:rsidR="003A72CF" w:rsidRPr="003A72CF" w:rsidRDefault="003A72CF" w:rsidP="003A72CF">
            <w:pPr>
              <w:pStyle w:val="ListParagraph"/>
              <w:numPr>
                <w:ilvl w:val="0"/>
                <w:numId w:val="2"/>
              </w:numPr>
              <w:spacing w:before="80" w:line="306" w:lineRule="auto"/>
              <w:rPr>
                <w:rFonts w:ascii="Calibri" w:eastAsia="Calibri" w:hAnsi="Calibri" w:cs="Calibri"/>
                <w:szCs w:val="25"/>
              </w:rPr>
            </w:pPr>
            <w:r w:rsidRPr="003A72CF">
              <w:rPr>
                <w:rFonts w:ascii="Calibri" w:eastAsia="Calibri" w:hAnsi="Calibri" w:cs="Calibri"/>
                <w:szCs w:val="25"/>
              </w:rPr>
              <w:t>SAGE</w:t>
            </w:r>
            <w:r w:rsidR="007D4083">
              <w:rPr>
                <w:rFonts w:ascii="Calibri" w:eastAsia="Calibri" w:hAnsi="Calibri" w:cs="Calibri"/>
                <w:szCs w:val="25"/>
              </w:rPr>
              <w:t xml:space="preserve"> Journals</w:t>
            </w:r>
          </w:p>
          <w:p w:rsidR="003A72CF" w:rsidRPr="003A72CF" w:rsidRDefault="003A72CF" w:rsidP="003A72CF">
            <w:pPr>
              <w:pStyle w:val="ListParagraph"/>
              <w:numPr>
                <w:ilvl w:val="0"/>
                <w:numId w:val="2"/>
              </w:numPr>
              <w:spacing w:before="80" w:line="306" w:lineRule="auto"/>
              <w:rPr>
                <w:rFonts w:ascii="Calibri" w:eastAsia="Calibri" w:hAnsi="Calibri" w:cs="Calibri"/>
                <w:b/>
                <w:sz w:val="25"/>
                <w:szCs w:val="25"/>
              </w:rPr>
            </w:pPr>
            <w:r w:rsidRPr="003A72CF">
              <w:rPr>
                <w:rFonts w:ascii="Calibri" w:eastAsia="Calibri" w:hAnsi="Calibri" w:cs="Calibri"/>
                <w:szCs w:val="25"/>
              </w:rPr>
              <w:t>Online Learning C</w:t>
            </w:r>
            <w:r>
              <w:rPr>
                <w:rFonts w:ascii="Calibri" w:eastAsia="Calibri" w:hAnsi="Calibri" w:cs="Calibri"/>
                <w:szCs w:val="25"/>
              </w:rPr>
              <w:t>o</w:t>
            </w:r>
            <w:r w:rsidRPr="003A72CF">
              <w:rPr>
                <w:rFonts w:ascii="Calibri" w:eastAsia="Calibri" w:hAnsi="Calibri" w:cs="Calibri"/>
                <w:szCs w:val="25"/>
              </w:rPr>
              <w:t>nsortiu</w:t>
            </w:r>
            <w:r>
              <w:rPr>
                <w:rFonts w:ascii="Calibri" w:eastAsia="Calibri" w:hAnsi="Calibri" w:cs="Calibri"/>
                <w:szCs w:val="25"/>
              </w:rPr>
              <w:t>m</w:t>
            </w:r>
          </w:p>
          <w:p w:rsidR="003A72CF" w:rsidRPr="007D4083" w:rsidRDefault="003A72CF" w:rsidP="003A72CF">
            <w:pPr>
              <w:pStyle w:val="ListParagraph"/>
              <w:numPr>
                <w:ilvl w:val="0"/>
                <w:numId w:val="2"/>
              </w:numPr>
              <w:spacing w:before="80" w:line="306" w:lineRule="auto"/>
              <w:rPr>
                <w:rFonts w:ascii="Calibri" w:eastAsia="Calibri" w:hAnsi="Calibri" w:cs="Calibri"/>
                <w:sz w:val="25"/>
                <w:szCs w:val="25"/>
              </w:rPr>
            </w:pPr>
            <w:r w:rsidRPr="007D4083">
              <w:rPr>
                <w:rFonts w:ascii="Calibri" w:eastAsia="Calibri" w:hAnsi="Calibri" w:cs="Calibri"/>
                <w:szCs w:val="25"/>
              </w:rPr>
              <w:t>International Journal</w:t>
            </w:r>
            <w:r w:rsidR="007D4083" w:rsidRPr="007D4083">
              <w:rPr>
                <w:rFonts w:ascii="Calibri" w:eastAsia="Calibri" w:hAnsi="Calibri" w:cs="Calibri"/>
                <w:szCs w:val="25"/>
              </w:rPr>
              <w:t xml:space="preserve"> of Education Resea</w:t>
            </w:r>
            <w:r w:rsidR="007D4083">
              <w:rPr>
                <w:rFonts w:ascii="Calibri" w:eastAsia="Calibri" w:hAnsi="Calibri" w:cs="Calibri"/>
                <w:szCs w:val="25"/>
              </w:rPr>
              <w:t>rch</w:t>
            </w:r>
          </w:p>
          <w:p w:rsidR="007D4083" w:rsidRPr="002A2F02" w:rsidRDefault="00F3249D" w:rsidP="003A72CF">
            <w:pPr>
              <w:pStyle w:val="ListParagraph"/>
              <w:numPr>
                <w:ilvl w:val="0"/>
                <w:numId w:val="2"/>
              </w:numPr>
              <w:spacing w:before="80" w:line="306" w:lineRule="auto"/>
              <w:rPr>
                <w:rFonts w:ascii="Calibri" w:eastAsia="Calibri" w:hAnsi="Calibri" w:cs="Calibri"/>
                <w:sz w:val="25"/>
                <w:szCs w:val="25"/>
              </w:rPr>
            </w:pPr>
            <w:r>
              <w:rPr>
                <w:rFonts w:ascii="Calibri" w:eastAsia="Calibri" w:hAnsi="Calibri" w:cs="Calibri"/>
                <w:szCs w:val="25"/>
              </w:rPr>
              <w:t>IRRODL: international Review of Research in Open and Distributed Learning</w:t>
            </w:r>
          </w:p>
          <w:p w:rsidR="002A2F02" w:rsidRPr="002A2F02" w:rsidRDefault="002A2F02" w:rsidP="002A2F02">
            <w:pPr>
              <w:spacing w:before="80" w:line="306" w:lineRule="auto"/>
              <w:rPr>
                <w:rFonts w:ascii="Calibri" w:eastAsia="Calibri" w:hAnsi="Calibri" w:cs="Calibri"/>
                <w:sz w:val="25"/>
                <w:szCs w:val="25"/>
              </w:rPr>
            </w:pPr>
          </w:p>
        </w:tc>
      </w:tr>
      <w:tr w:rsidR="002A2F02" w:rsidTr="005F4BC5">
        <w:trPr>
          <w:trHeight w:val="1160"/>
        </w:trPr>
        <w:tc>
          <w:tcPr>
            <w:tcW w:w="90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F4BC5" w:rsidRDefault="005F4BC5" w:rsidP="005F4BC5">
            <w:pPr>
              <w:spacing w:before="80" w:line="306" w:lineRule="auto"/>
              <w:ind w:left="160"/>
              <w:rPr>
                <w:rFonts w:ascii="Calibri" w:eastAsia="Calibri" w:hAnsi="Calibri" w:cs="Calibri"/>
                <w:b/>
                <w:sz w:val="25"/>
                <w:szCs w:val="25"/>
              </w:rPr>
            </w:pPr>
            <w:r>
              <w:rPr>
                <w:rFonts w:ascii="Calibri" w:eastAsia="Calibri" w:hAnsi="Calibri" w:cs="Calibri"/>
                <w:b/>
                <w:sz w:val="25"/>
                <w:szCs w:val="25"/>
              </w:rPr>
              <w:t>Ethical Considerations</w:t>
            </w:r>
          </w:p>
          <w:p w:rsidR="002A2F02" w:rsidRPr="005F4BC5" w:rsidRDefault="005F4BC5" w:rsidP="005F4BC5">
            <w:pPr>
              <w:spacing w:before="80" w:line="306" w:lineRule="auto"/>
              <w:ind w:left="165"/>
              <w:rPr>
                <w:rFonts w:ascii="Calibri" w:eastAsia="Calibri" w:hAnsi="Calibri" w:cs="Calibri"/>
                <w:sz w:val="25"/>
                <w:szCs w:val="25"/>
              </w:rPr>
            </w:pPr>
            <w:r w:rsidRPr="005F4BC5">
              <w:rPr>
                <w:rFonts w:ascii="Calibri" w:eastAsia="Calibri" w:hAnsi="Calibri" w:cs="Calibri"/>
                <w:szCs w:val="25"/>
              </w:rPr>
              <w:t xml:space="preserve">This </w:t>
            </w:r>
            <w:proofErr w:type="spellStart"/>
            <w:r w:rsidRPr="005F4BC5">
              <w:rPr>
                <w:rFonts w:ascii="Calibri" w:eastAsia="Calibri" w:hAnsi="Calibri" w:cs="Calibri"/>
                <w:szCs w:val="25"/>
              </w:rPr>
              <w:t>SoTL</w:t>
            </w:r>
            <w:proofErr w:type="spellEnd"/>
            <w:r w:rsidRPr="005F4BC5">
              <w:rPr>
                <w:rFonts w:ascii="Calibri" w:eastAsia="Calibri" w:hAnsi="Calibri" w:cs="Calibri"/>
                <w:szCs w:val="25"/>
              </w:rPr>
              <w:t xml:space="preserve"> Research plan will need to consider the ethical implications associated with surveying students and faculty.</w:t>
            </w:r>
            <w:r>
              <w:rPr>
                <w:rFonts w:ascii="Calibri" w:eastAsia="Calibri" w:hAnsi="Calibri" w:cs="Calibri"/>
                <w:szCs w:val="25"/>
              </w:rPr>
              <w:t xml:space="preserve"> </w:t>
            </w:r>
            <w:r w:rsidR="0099534E">
              <w:rPr>
                <w:rFonts w:ascii="Calibri" w:eastAsia="Calibri" w:hAnsi="Calibri" w:cs="Calibri"/>
                <w:szCs w:val="25"/>
              </w:rPr>
              <w:t>Survey questions will be developed</w:t>
            </w:r>
            <w:r w:rsidR="002A2FEF">
              <w:rPr>
                <w:rFonts w:ascii="Calibri" w:eastAsia="Calibri" w:hAnsi="Calibri" w:cs="Calibri"/>
                <w:szCs w:val="25"/>
              </w:rPr>
              <w:t xml:space="preserve"> for faculty and students at both the pre- and post- stages of the research project to determine readiness and outcomes</w:t>
            </w:r>
            <w:bookmarkStart w:id="2" w:name="_GoBack"/>
            <w:bookmarkEnd w:id="2"/>
            <w:r w:rsidR="002A2FEF">
              <w:rPr>
                <w:rFonts w:ascii="Calibri" w:eastAsia="Calibri" w:hAnsi="Calibri" w:cs="Calibri"/>
                <w:szCs w:val="25"/>
              </w:rPr>
              <w:t>. A</w:t>
            </w:r>
            <w:r>
              <w:rPr>
                <w:rFonts w:ascii="Calibri" w:eastAsia="Calibri" w:hAnsi="Calibri" w:cs="Calibri"/>
                <w:szCs w:val="25"/>
              </w:rPr>
              <w:t>n internal Ethics Review Board application will be sought once the plan has been further developed to ensure the research will not infringe upon participants ethical rights.</w:t>
            </w:r>
          </w:p>
        </w:tc>
      </w:tr>
    </w:tbl>
    <w:p w:rsidR="007925CF" w:rsidRDefault="00B44160">
      <w:pPr>
        <w:spacing w:after="400" w:line="21" w:lineRule="auto"/>
        <w:rPr>
          <w:rFonts w:ascii="Calibri" w:eastAsia="Calibri" w:hAnsi="Calibri" w:cs="Calibri"/>
        </w:rPr>
      </w:pPr>
      <w:r>
        <w:rPr>
          <w:rFonts w:ascii="Calibri" w:eastAsia="Calibri" w:hAnsi="Calibri" w:cs="Calibri"/>
        </w:rPr>
        <w:t xml:space="preserve"> </w:t>
      </w:r>
    </w:p>
    <w:p w:rsidR="007925CF" w:rsidRPr="006F3E9E" w:rsidRDefault="00B44160" w:rsidP="006F3E9E">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r w:rsidR="006F3E9E">
        <w:rPr>
          <w:rFonts w:ascii="Calibri" w:eastAsia="Calibri" w:hAnsi="Calibri" w:cs="Calibri"/>
          <w:b/>
          <w:i/>
          <w:sz w:val="23"/>
          <w:szCs w:val="23"/>
        </w:rPr>
        <w:t xml:space="preserve"> </w:t>
      </w:r>
      <w:r>
        <w:rPr>
          <w:rFonts w:ascii="Calibri" w:eastAsia="Calibri" w:hAnsi="Calibri" w:cs="Calibri"/>
          <w:sz w:val="23"/>
          <w:szCs w:val="23"/>
        </w:rPr>
        <w:t xml:space="preserve">Center for University Teaching, Learning, and Assessment </w:t>
      </w:r>
      <w:hyperlink r:id="rId6">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rsidR="007925CF" w:rsidRDefault="00B44160">
      <w:r>
        <w:fldChar w:fldCharType="end"/>
      </w:r>
    </w:p>
    <w:sectPr w:rsidR="007925C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14016"/>
    <w:multiLevelType w:val="hybridMultilevel"/>
    <w:tmpl w:val="AEAC9E64"/>
    <w:lvl w:ilvl="0" w:tplc="6E40EF4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57D66584"/>
    <w:multiLevelType w:val="hybridMultilevel"/>
    <w:tmpl w:val="67F4545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63B1438F"/>
    <w:multiLevelType w:val="hybridMultilevel"/>
    <w:tmpl w:val="ADE49A66"/>
    <w:lvl w:ilvl="0" w:tplc="98A0C60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7CB75072"/>
    <w:multiLevelType w:val="hybridMultilevel"/>
    <w:tmpl w:val="E9805D34"/>
    <w:lvl w:ilvl="0" w:tplc="6E40EF4A">
      <w:start w:val="1"/>
      <w:numFmt w:val="decimal"/>
      <w:lvlText w:val="%1."/>
      <w:lvlJc w:val="left"/>
      <w:pPr>
        <w:ind w:left="690"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7EFB47F4"/>
    <w:multiLevelType w:val="hybridMultilevel"/>
    <w:tmpl w:val="304666A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CF"/>
    <w:rsid w:val="00005FEA"/>
    <w:rsid w:val="0002710E"/>
    <w:rsid w:val="002A2F02"/>
    <w:rsid w:val="002A2FEF"/>
    <w:rsid w:val="003066AC"/>
    <w:rsid w:val="003A72CF"/>
    <w:rsid w:val="003C531A"/>
    <w:rsid w:val="004109DA"/>
    <w:rsid w:val="005F4BC5"/>
    <w:rsid w:val="006F3E9E"/>
    <w:rsid w:val="007925CF"/>
    <w:rsid w:val="007D4083"/>
    <w:rsid w:val="008406FE"/>
    <w:rsid w:val="0099534E"/>
    <w:rsid w:val="009C2FF0"/>
    <w:rsid w:val="009C3453"/>
    <w:rsid w:val="00B44160"/>
    <w:rsid w:val="00B969C8"/>
    <w:rsid w:val="00D57DAA"/>
    <w:rsid w:val="00F3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8786"/>
  <w15:docId w15:val="{E528A1F2-C346-498D-9533-7ADFC742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C531A"/>
    <w:pPr>
      <w:ind w:left="720"/>
      <w:contextualSpacing/>
    </w:pPr>
  </w:style>
  <w:style w:type="character" w:styleId="Hyperlink">
    <w:name w:val="Hyperlink"/>
    <w:basedOn w:val="DefaultParagraphFont"/>
    <w:uiPriority w:val="99"/>
    <w:unhideWhenUsed/>
    <w:rsid w:val="008406FE"/>
    <w:rPr>
      <w:color w:val="0000FF" w:themeColor="hyperlink"/>
      <w:u w:val="single"/>
    </w:rPr>
  </w:style>
  <w:style w:type="character" w:styleId="UnresolvedMention">
    <w:name w:val="Unresolved Mention"/>
    <w:basedOn w:val="DefaultParagraphFont"/>
    <w:uiPriority w:val="99"/>
    <w:semiHidden/>
    <w:unhideWhenUsed/>
    <w:rsid w:val="008406FE"/>
    <w:rPr>
      <w:color w:val="605E5C"/>
      <w:shd w:val="clear" w:color="auto" w:fill="E1DFDD"/>
    </w:rPr>
  </w:style>
  <w:style w:type="character" w:styleId="FollowedHyperlink">
    <w:name w:val="FollowedHyperlink"/>
    <w:basedOn w:val="DefaultParagraphFont"/>
    <w:uiPriority w:val="99"/>
    <w:semiHidden/>
    <w:unhideWhenUsed/>
    <w:rsid w:val="00410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wf.edu/cutla/" TargetMode="External"/><Relationship Id="rId5" Type="http://schemas.openxmlformats.org/officeDocument/2006/relationships/hyperlink" Target="https://www.niu.edu/keepteaching/resources/hyflex-course-mode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Alissa Bigelow</cp:lastModifiedBy>
  <cp:revision>6</cp:revision>
  <dcterms:created xsi:type="dcterms:W3CDTF">2021-04-09T18:39:00Z</dcterms:created>
  <dcterms:modified xsi:type="dcterms:W3CDTF">2021-04-11T17:22:00Z</dcterms:modified>
</cp:coreProperties>
</file>