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399" w:rsidRDefault="00F113A5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>Plan for a SoTL Project</w:t>
      </w:r>
    </w:p>
    <w:p w14:paraId="00000002" w14:textId="0B731882" w:rsidR="00241399" w:rsidRDefault="00F113A5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626669">
        <w:rPr>
          <w:sz w:val="28"/>
          <w:szCs w:val="28"/>
          <w:u w:val="single"/>
        </w:rPr>
        <w:t>Karen Burns, Georgian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41399" w14:paraId="0EB18B9F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27D37D57" w:rsidR="00241399" w:rsidRDefault="00F113A5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777C4373" w14:textId="77777777" w:rsidR="00DF65F1" w:rsidRDefault="00DF65F1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645B598A" w14:textId="3F0A0242" w:rsidR="001F1AF3" w:rsidRPr="000C4B6C" w:rsidRDefault="001F1AF3" w:rsidP="00A34EB6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</w:pPr>
            <w:r w:rsidRPr="000C4B6C"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  <w:t xml:space="preserve">How do I </w:t>
            </w:r>
            <w:r w:rsidR="00A34EB6" w:rsidRPr="000C4B6C"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  <w:t xml:space="preserve">better </w:t>
            </w:r>
            <w:r w:rsidR="00D01166" w:rsidRPr="000C4B6C"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  <w:t xml:space="preserve">engage </w:t>
            </w:r>
            <w:r w:rsidRPr="000C4B6C">
              <w:rPr>
                <w:rFonts w:ascii="Calibri" w:eastAsia="Calibri" w:hAnsi="Calibri" w:cs="Calibri"/>
                <w:b/>
                <w:bCs/>
                <w:strike/>
                <w:color w:val="000000" w:themeColor="text1"/>
                <w:sz w:val="23"/>
                <w:szCs w:val="23"/>
              </w:rPr>
              <w:t>students when I teach a blended course?</w:t>
            </w:r>
          </w:p>
          <w:p w14:paraId="7E0579AF" w14:textId="331A3B5E" w:rsidR="000C4B6C" w:rsidRDefault="000C4B6C" w:rsidP="00A34EB6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strike/>
                <w:sz w:val="23"/>
                <w:szCs w:val="23"/>
              </w:rPr>
            </w:pPr>
          </w:p>
          <w:p w14:paraId="719D8F9F" w14:textId="77777777" w:rsidR="000C4B6C" w:rsidRPr="000C4B6C" w:rsidRDefault="000C4B6C" w:rsidP="000C4B6C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</w:pPr>
            <w:r w:rsidRPr="000C4B6C"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Would student engagement and grade level improve if they were given the option of either learning material synchronously or asynchronously?</w:t>
            </w:r>
          </w:p>
          <w:p w14:paraId="7CE919A6" w14:textId="77777777" w:rsidR="00DF65F1" w:rsidRPr="00A34EB6" w:rsidRDefault="00DF65F1" w:rsidP="000C4B6C">
            <w:pPr>
              <w:spacing w:line="279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0000008" w14:textId="53AB5B88" w:rsidR="001F1AF3" w:rsidRPr="001F1AF3" w:rsidRDefault="001F1AF3" w:rsidP="001F1AF3">
            <w:pPr>
              <w:spacing w:after="1180" w:line="279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Prior to Covid, all my courses were taught using a blended format.  This meant that about 4 or 5 times through the semester I would go to the campus for a face-to-face class.  The other weeks the content was presented online, asynchronously.  As I met with the students so infrequently, I did not get to know them and for the most part, did not connect with them.  </w:t>
            </w:r>
            <w:r w:rsidR="00D01166">
              <w:rPr>
                <w:rFonts w:ascii="Calibri" w:eastAsia="Calibri" w:hAnsi="Calibri" w:cs="Calibri"/>
                <w:sz w:val="23"/>
                <w:szCs w:val="23"/>
              </w:rPr>
              <w:t>Additionally, I found that many of the students did not seem</w:t>
            </w:r>
            <w:r w:rsidR="00192EFD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D01166">
              <w:rPr>
                <w:rFonts w:ascii="Calibri" w:eastAsia="Calibri" w:hAnsi="Calibri" w:cs="Calibri"/>
                <w:sz w:val="23"/>
                <w:szCs w:val="23"/>
              </w:rPr>
              <w:t xml:space="preserve">engaged in the asynchronized material.  </w:t>
            </w:r>
          </w:p>
        </w:tc>
      </w:tr>
      <w:tr w:rsidR="00241399" w14:paraId="4C460869" w14:textId="77777777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D903" w14:textId="339B2381" w:rsidR="00A34EB6" w:rsidRPr="003D03A0" w:rsidRDefault="00F113A5" w:rsidP="003D03A0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 that is related to your question.</w:t>
            </w:r>
          </w:p>
          <w:p w14:paraId="0DEB6A26" w14:textId="2F41C9CD" w:rsidR="00A34EB6" w:rsidRPr="00A34EB6" w:rsidRDefault="00A34EB6" w:rsidP="00A34EB6">
            <w:pPr>
              <w:spacing w:line="280" w:lineRule="auto"/>
              <w:ind w:left="160"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Challenges</w:t>
            </w:r>
          </w:p>
          <w:p w14:paraId="2E3AF457" w14:textId="5213F5ED" w:rsidR="00D01166" w:rsidRDefault="00D01166" w:rsidP="00D01166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D01166">
              <w:rPr>
                <w:rFonts w:ascii="Calibri" w:eastAsia="Calibri" w:hAnsi="Calibri" w:cs="Calibri"/>
                <w:sz w:val="23"/>
                <w:szCs w:val="23"/>
              </w:rPr>
              <w:t>Reverting back to teaching face-to-face every week may benefit some students, but this may prove difficult for other students who live in remote areas and have a long, and in winter often difficult commute</w:t>
            </w:r>
          </w:p>
          <w:p w14:paraId="62CE60CF" w14:textId="18B5C345" w:rsidR="00D01166" w:rsidRDefault="00A34EB6" w:rsidP="00D01166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Since the onset of Covid, students have had more experience with online learning.  Will this make a difference when we return to regular classroom situations?</w:t>
            </w:r>
          </w:p>
          <w:p w14:paraId="720A188C" w14:textId="3A3B7402" w:rsidR="00A34EB6" w:rsidRDefault="0012116E" w:rsidP="00A34EB6">
            <w:pPr>
              <w:pStyle w:val="ListParagraph"/>
              <w:numPr>
                <w:ilvl w:val="0"/>
                <w:numId w:val="1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Some students have difficulty </w:t>
            </w:r>
            <w:r w:rsidR="008D5245">
              <w:rPr>
                <w:rFonts w:ascii="Calibri" w:eastAsia="Calibri" w:hAnsi="Calibri" w:cs="Calibri"/>
                <w:sz w:val="23"/>
                <w:szCs w:val="23"/>
              </w:rPr>
              <w:t>learning through a self-taught process and either do not comprehend the reading material or do not attempt to read it</w:t>
            </w:r>
          </w:p>
          <w:p w14:paraId="7EA04B2A" w14:textId="15BCF663" w:rsidR="00A34EB6" w:rsidRDefault="00A34EB6" w:rsidP="00A34EB6">
            <w:pPr>
              <w:spacing w:line="280" w:lineRule="auto"/>
              <w:ind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Outcomes</w:t>
            </w:r>
          </w:p>
          <w:p w14:paraId="0D44EDE3" w14:textId="3B3E519E" w:rsidR="00A34EB6" w:rsidRDefault="00805EC4" w:rsidP="00A34EB6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805EC4">
              <w:rPr>
                <w:rFonts w:ascii="Calibri" w:eastAsia="Calibri" w:hAnsi="Calibri" w:cs="Calibri"/>
                <w:sz w:val="23"/>
                <w:szCs w:val="23"/>
              </w:rPr>
              <w:t>Determine students’ needs and comfort level regarding online vs face-to-face learning</w:t>
            </w:r>
          </w:p>
          <w:p w14:paraId="60CDEAB8" w14:textId="77D161CF" w:rsidR="00805EC4" w:rsidRDefault="00805EC4" w:rsidP="00A34EB6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Evaluate students’ online skill level</w:t>
            </w:r>
          </w:p>
          <w:p w14:paraId="0000000A" w14:textId="3243DF75" w:rsidR="001F1AF3" w:rsidRPr="00EB3B18" w:rsidRDefault="00805EC4" w:rsidP="00EB3B18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Increase in student satisfaction and grade level</w:t>
            </w:r>
          </w:p>
        </w:tc>
      </w:tr>
      <w:tr w:rsidR="00241399" w14:paraId="35BD8015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41399" w:rsidRDefault="00F113A5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54D23CA3" w14:textId="5C565BF4" w:rsidR="00FC58A5" w:rsidRPr="000C4B6C" w:rsidRDefault="00FC58A5" w:rsidP="003D03A0">
            <w:pPr>
              <w:pStyle w:val="ListParagraph"/>
              <w:numPr>
                <w:ilvl w:val="0"/>
                <w:numId w:val="3"/>
              </w:numPr>
              <w:spacing w:line="280" w:lineRule="auto"/>
              <w:ind w:right="180"/>
              <w:rPr>
                <w:rFonts w:ascii="Calibri" w:eastAsia="Calibri" w:hAnsi="Calibri" w:cs="Calibri"/>
                <w:b/>
                <w:strike/>
                <w:color w:val="000000" w:themeColor="text1"/>
                <w:sz w:val="23"/>
                <w:szCs w:val="23"/>
              </w:rPr>
            </w:pPr>
            <w:r w:rsidRPr="000C4B6C">
              <w:rPr>
                <w:rFonts w:ascii="Calibri" w:eastAsia="Calibri" w:hAnsi="Calibri" w:cs="Calibri"/>
                <w:strike/>
                <w:color w:val="000000" w:themeColor="text1"/>
                <w:sz w:val="23"/>
                <w:szCs w:val="23"/>
              </w:rPr>
              <w:t>Course will continue to operate as a hybrid  with some classes face-to-face and the rest online.  The difference will be that the online portion will be available both synchronized and asynchronized.</w:t>
            </w:r>
          </w:p>
          <w:p w14:paraId="781287A3" w14:textId="77777777" w:rsidR="000C4B6C" w:rsidRPr="000C4B6C" w:rsidRDefault="000C4B6C" w:rsidP="000C4B6C">
            <w:pPr>
              <w:pStyle w:val="ListParagraph"/>
              <w:spacing w:line="280" w:lineRule="auto"/>
              <w:ind w:left="880" w:right="180"/>
              <w:rPr>
                <w:rFonts w:ascii="Calibri" w:eastAsia="Calibri" w:hAnsi="Calibri" w:cs="Calibri"/>
                <w:b/>
                <w:strike/>
                <w:color w:val="FF0000"/>
                <w:sz w:val="23"/>
                <w:szCs w:val="23"/>
              </w:rPr>
            </w:pPr>
          </w:p>
          <w:p w14:paraId="206D2244" w14:textId="77777777" w:rsidR="000C4B6C" w:rsidRPr="000C4B6C" w:rsidRDefault="000C4B6C" w:rsidP="000C4B6C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 xml:space="preserve">A study of Indonesian university students concluded that since the onset of Covid </w:t>
            </w:r>
          </w:p>
          <w:p w14:paraId="15C85782" w14:textId="5E0298F0" w:rsidR="000C4B6C" w:rsidRPr="000C4B6C" w:rsidRDefault="000C4B6C" w:rsidP="000C4B6C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“</w:t>
            </w:r>
            <w:proofErr w:type="gramStart"/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students</w:t>
            </w:r>
            <w:proofErr w:type="gramEnd"/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 xml:space="preserve"> could adapt to the new learning methods of full DL and the majorities agreed blended learning that combined classroom and distance learning can be implemented henceforth. This current COVID-19 pandemic, changes not only the utilization of technology in education but the pedagogy strategies in the future”(Amir et al, 2020)</w:t>
            </w:r>
          </w:p>
          <w:p w14:paraId="24B2111F" w14:textId="5E47953F" w:rsidR="000C4B6C" w:rsidRPr="000C4B6C" w:rsidRDefault="000C4B6C" w:rsidP="000C4B6C">
            <w:pPr>
              <w:spacing w:line="280" w:lineRule="auto"/>
              <w:ind w:left="520"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</w:p>
          <w:p w14:paraId="7D404BFD" w14:textId="77777777" w:rsidR="000C4B6C" w:rsidRPr="000C4B6C" w:rsidRDefault="000C4B6C" w:rsidP="000C4B6C">
            <w:pPr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Course will be presented in a hybrid format as follows:</w:t>
            </w:r>
          </w:p>
          <w:p w14:paraId="26B02871" w14:textId="77777777" w:rsidR="000C4B6C" w:rsidRPr="000C4B6C" w:rsidRDefault="000C4B6C" w:rsidP="000C4B6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Classes will be held face-to-face four times throughout the semester</w:t>
            </w:r>
          </w:p>
          <w:p w14:paraId="4F0C3085" w14:textId="77777777" w:rsidR="000C4B6C" w:rsidRPr="000C4B6C" w:rsidRDefault="000C4B6C" w:rsidP="000C4B6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 xml:space="preserve">The remaining weeks students will have the option to either complete their learning asynchronized or synchronized online using </w:t>
            </w:r>
            <w:proofErr w:type="spellStart"/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WebEX</w:t>
            </w:r>
            <w:proofErr w:type="spellEnd"/>
          </w:p>
          <w:p w14:paraId="21AE445F" w14:textId="77777777" w:rsidR="000C4B6C" w:rsidRPr="000C4B6C" w:rsidRDefault="000C4B6C" w:rsidP="000C4B6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Faculty will be available to meet with students after class or by appointment</w:t>
            </w:r>
          </w:p>
          <w:p w14:paraId="7B357A8F" w14:textId="6CC4E7AB" w:rsidR="000C4B6C" w:rsidRPr="000C4B6C" w:rsidRDefault="000C4B6C" w:rsidP="000C4B6C">
            <w:pPr>
              <w:pStyle w:val="ListParagraph"/>
              <w:numPr>
                <w:ilvl w:val="0"/>
                <w:numId w:val="3"/>
              </w:numPr>
              <w:spacing w:line="280" w:lineRule="auto"/>
              <w:ind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>Students are welcome to email faculty at any time with questions</w:t>
            </w:r>
          </w:p>
          <w:p w14:paraId="58F88C99" w14:textId="77777777" w:rsidR="000C4B6C" w:rsidRPr="000C4B6C" w:rsidRDefault="000C4B6C" w:rsidP="000C4B6C">
            <w:pPr>
              <w:pStyle w:val="ListParagraph"/>
              <w:spacing w:line="280" w:lineRule="auto"/>
              <w:ind w:left="880"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</w:p>
          <w:p w14:paraId="41D1D0AC" w14:textId="77777777" w:rsidR="000C4B6C" w:rsidRPr="000C4B6C" w:rsidRDefault="000C4B6C" w:rsidP="000C4B6C">
            <w:pPr>
              <w:pStyle w:val="ListParagraph"/>
              <w:spacing w:line="280" w:lineRule="auto"/>
              <w:ind w:left="0" w:right="180"/>
              <w:jc w:val="center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Reference</w:t>
            </w:r>
          </w:p>
          <w:p w14:paraId="293F2409" w14:textId="77777777" w:rsidR="000C4B6C" w:rsidRPr="000C4B6C" w:rsidRDefault="000C4B6C" w:rsidP="000C4B6C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Amir, L.R., Tanti, I., Maharani, D.A. </w:t>
            </w:r>
            <w:r w:rsidRPr="000C4B6C">
              <w:rPr>
                <w:rFonts w:asciiTheme="majorHAnsi" w:eastAsia="Calibri" w:hAnsiTheme="majorHAnsi" w:cstheme="majorHAnsi"/>
                <w:i/>
                <w:iCs/>
                <w:color w:val="FF0000"/>
                <w:sz w:val="23"/>
                <w:szCs w:val="23"/>
              </w:rPr>
              <w:t>et al.</w:t>
            </w: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 xml:space="preserve"> Student perspective of classroom and distance </w:t>
            </w:r>
          </w:p>
          <w:p w14:paraId="76564708" w14:textId="77777777" w:rsidR="000C4B6C" w:rsidRPr="000C4B6C" w:rsidRDefault="000C4B6C" w:rsidP="000C4B6C">
            <w:pPr>
              <w:spacing w:line="280" w:lineRule="auto"/>
              <w:ind w:left="720" w:right="180"/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</w:pP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learning during COVID-19 pandemic in the undergraduate dental study program Universitas Indonesia. </w:t>
            </w:r>
            <w:r w:rsidRPr="000C4B6C">
              <w:rPr>
                <w:rFonts w:asciiTheme="majorHAnsi" w:eastAsia="Calibri" w:hAnsiTheme="majorHAnsi" w:cstheme="majorHAnsi"/>
                <w:i/>
                <w:iCs/>
                <w:color w:val="FF0000"/>
                <w:sz w:val="23"/>
                <w:szCs w:val="23"/>
              </w:rPr>
              <w:t>BMC Med Educ</w:t>
            </w: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 </w:t>
            </w:r>
            <w:r w:rsidRPr="000C4B6C">
              <w:rPr>
                <w:rFonts w:asciiTheme="majorHAnsi" w:eastAsia="Calibri" w:hAnsiTheme="majorHAnsi" w:cstheme="majorHAnsi"/>
                <w:b/>
                <w:bCs/>
                <w:color w:val="FF0000"/>
                <w:sz w:val="23"/>
                <w:szCs w:val="23"/>
              </w:rPr>
              <w:t>20, </w:t>
            </w:r>
            <w:r w:rsidRPr="000C4B6C">
              <w:rPr>
                <w:rFonts w:asciiTheme="majorHAnsi" w:eastAsia="Calibri" w:hAnsiTheme="majorHAnsi" w:cstheme="majorHAnsi"/>
                <w:color w:val="FF0000"/>
                <w:sz w:val="23"/>
                <w:szCs w:val="23"/>
              </w:rPr>
              <w:t>392 (2020). https://doi.org/10.1186/s12909-020-02312-0</w:t>
            </w:r>
          </w:p>
          <w:p w14:paraId="0000000C" w14:textId="049B4C7E" w:rsidR="000C4B6C" w:rsidRPr="003D03A0" w:rsidRDefault="000C4B6C" w:rsidP="000C4B6C">
            <w:pPr>
              <w:pStyle w:val="ListParagraph"/>
              <w:spacing w:line="280" w:lineRule="auto"/>
              <w:ind w:left="880" w:right="180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</w:tr>
      <w:tr w:rsidR="00241399" w14:paraId="41E77A99" w14:textId="77777777">
        <w:trPr>
          <w:trHeight w:val="4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639D5013" w:rsidR="00241399" w:rsidRDefault="00F113A5" w:rsidP="00FC58A5">
            <w:pPr>
              <w:spacing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evidence that would persuade an external audience that the new or modified teaching strategy improves student learning on the targeted learning outcome.</w:t>
            </w:r>
          </w:p>
          <w:p w14:paraId="2515C6DD" w14:textId="22BAF384" w:rsidR="00FC58A5" w:rsidRPr="000C4B6C" w:rsidRDefault="00FC58A5" w:rsidP="00FC58A5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</w:pPr>
            <w:r w:rsidRPr="000C4B6C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>change in students’ grades</w:t>
            </w:r>
          </w:p>
          <w:p w14:paraId="791CD9CE" w14:textId="40EA9126" w:rsidR="00FC58A5" w:rsidRPr="000C4B6C" w:rsidRDefault="00FC58A5" w:rsidP="00FC58A5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</w:pPr>
            <w:r w:rsidRPr="000C4B6C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 xml:space="preserve">attendance at </w:t>
            </w:r>
            <w:r w:rsidR="00A41E53" w:rsidRPr="000C4B6C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>asynchronized classes</w:t>
            </w:r>
          </w:p>
          <w:p w14:paraId="2640D1F8" w14:textId="20D3BCD9" w:rsidR="000C4B6C" w:rsidRPr="00AE086D" w:rsidRDefault="00A41E53" w:rsidP="000C4B6C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</w:pPr>
            <w:r w:rsidRPr="000C4B6C">
              <w:rPr>
                <w:rFonts w:ascii="Calibri" w:eastAsia="Calibri" w:hAnsi="Calibri" w:cs="Calibri"/>
                <w:bCs/>
                <w:strike/>
                <w:sz w:val="25"/>
                <w:szCs w:val="25"/>
              </w:rPr>
              <w:t>how students are feeling</w:t>
            </w:r>
          </w:p>
          <w:p w14:paraId="2DF62ED4" w14:textId="0414988C" w:rsidR="00AE086D" w:rsidRPr="00AE086D" w:rsidRDefault="000C4B6C" w:rsidP="00AE086D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A comparison </w:t>
            </w:r>
            <w:r w:rsidR="00AE086D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of current and 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previous year </w:t>
            </w:r>
            <w:r w:rsidR="00AE086D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marks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 to determine if there is a</w:t>
            </w:r>
            <w:r w:rsidR="00AE086D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 change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 in </w:t>
            </w:r>
            <w:r w:rsidR="00AE086D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grades</w:t>
            </w:r>
          </w:p>
          <w:p w14:paraId="1B605BE3" w14:textId="11E25BB5" w:rsidR="00AE086D" w:rsidRPr="00AE086D" w:rsidRDefault="00AE086D" w:rsidP="00AE086D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Weekly attendance numbers for the synchronized learning will be collected and recorded. A benchmark number will be decided upon to determine success of this added opportunity</w:t>
            </w:r>
          </w:p>
          <w:p w14:paraId="6E9F84EA" w14:textId="77777777" w:rsidR="00AE086D" w:rsidRDefault="00AE086D" w:rsidP="000C4B6C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Student survey will be undertaken at the beginning of the semester and at the end to determine how they are feeling </w:t>
            </w:r>
          </w:p>
          <w:p w14:paraId="0000000E" w14:textId="28622D9B" w:rsidR="00AE086D" w:rsidRPr="00AE086D" w:rsidRDefault="00AE086D" w:rsidP="00AE086D">
            <w:pPr>
              <w:pStyle w:val="ListParagraph"/>
              <w:spacing w:line="306" w:lineRule="auto"/>
              <w:ind w:left="0" w:right="800"/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5"/>
                <w:szCs w:val="25"/>
              </w:rPr>
              <w:t xml:space="preserve">Ethical Considerations:  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Students will be asked to complete a</w:t>
            </w:r>
            <w:r w:rsidR="009517E1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n anonymous </w:t>
            </w:r>
            <w:r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survey prior to the implementation of this SoTL plan and another upon completion of the </w:t>
            </w:r>
            <w:r w:rsidR="000A3524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semester. </w:t>
            </w:r>
            <w:r w:rsidR="009517E1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 xml:space="preserve"> </w:t>
            </w:r>
            <w:r w:rsidR="009D2CA8">
              <w:rPr>
                <w:rFonts w:ascii="Calibri" w:eastAsia="Calibri" w:hAnsi="Calibri" w:cs="Calibri"/>
                <w:bCs/>
                <w:color w:val="FF0000"/>
                <w:sz w:val="25"/>
                <w:szCs w:val="25"/>
              </w:rPr>
              <w:t>Prior to the start of the SoTL an Ethics Review Board approval will be required and students will be asked to review and sign an informed consent form.</w:t>
            </w:r>
          </w:p>
        </w:tc>
      </w:tr>
      <w:tr w:rsidR="00241399" w14:paraId="685718AB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05AE" w14:textId="77777777" w:rsidR="003D03A0" w:rsidRDefault="00F113A5" w:rsidP="003D03A0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0000000F" w14:textId="42CB832C" w:rsidR="00A41E53" w:rsidRPr="003D03A0" w:rsidRDefault="00A41E53" w:rsidP="003D03A0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A41E53">
              <w:rPr>
                <w:rFonts w:ascii="Calibri" w:eastAsia="Calibri" w:hAnsi="Calibri" w:cs="Calibri"/>
                <w:bCs/>
                <w:sz w:val="25"/>
                <w:szCs w:val="25"/>
              </w:rPr>
              <w:t>This work would be available to the Associate Dean, Course Coordinator and Course Lead for the SSW program</w:t>
            </w:r>
          </w:p>
        </w:tc>
      </w:tr>
    </w:tbl>
    <w:p w14:paraId="00000010" w14:textId="77777777" w:rsidR="00241399" w:rsidRDefault="00F113A5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77777777" w:rsidR="00241399" w:rsidRDefault="00F113A5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Stanny,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>Getting Started with a SoTL Project</w:t>
      </w:r>
    </w:p>
    <w:p w14:paraId="00000012" w14:textId="77777777" w:rsidR="00241399" w:rsidRDefault="00F113A5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8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00000013" w14:textId="77777777" w:rsidR="00241399" w:rsidRDefault="00F113A5">
      <w:r>
        <w:fldChar w:fldCharType="end"/>
      </w:r>
    </w:p>
    <w:sectPr w:rsidR="00241399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BD23" w14:textId="77777777" w:rsidR="000C4B6C" w:rsidRDefault="000C4B6C" w:rsidP="000C4B6C">
      <w:pPr>
        <w:spacing w:line="240" w:lineRule="auto"/>
      </w:pPr>
      <w:r>
        <w:separator/>
      </w:r>
    </w:p>
  </w:endnote>
  <w:endnote w:type="continuationSeparator" w:id="0">
    <w:p w14:paraId="510A75FD" w14:textId="77777777" w:rsidR="000C4B6C" w:rsidRDefault="000C4B6C" w:rsidP="000C4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211B" w14:textId="77777777" w:rsidR="000C4B6C" w:rsidRDefault="000C4B6C" w:rsidP="000C4B6C">
      <w:pPr>
        <w:spacing w:line="240" w:lineRule="auto"/>
      </w:pPr>
      <w:r>
        <w:separator/>
      </w:r>
    </w:p>
  </w:footnote>
  <w:footnote w:type="continuationSeparator" w:id="0">
    <w:p w14:paraId="69F44E5A" w14:textId="77777777" w:rsidR="000C4B6C" w:rsidRDefault="000C4B6C" w:rsidP="000C4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C743" w14:textId="1E63AC40" w:rsidR="000C4B6C" w:rsidRPr="000C4B6C" w:rsidRDefault="000C4B6C">
    <w:pPr>
      <w:pStyle w:val="Header"/>
      <w:rPr>
        <w:lang w:val="en-CA"/>
      </w:rPr>
    </w:pPr>
    <w:r>
      <w:rPr>
        <w:lang w:val="en-CA"/>
      </w:rPr>
      <w:t>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DC3"/>
    <w:multiLevelType w:val="hybridMultilevel"/>
    <w:tmpl w:val="2E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885"/>
    <w:multiLevelType w:val="hybridMultilevel"/>
    <w:tmpl w:val="C220F504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D160A55"/>
    <w:multiLevelType w:val="hybridMultilevel"/>
    <w:tmpl w:val="3F8672C6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99"/>
    <w:rsid w:val="000A3524"/>
    <w:rsid w:val="000C4B6C"/>
    <w:rsid w:val="0012116E"/>
    <w:rsid w:val="00192EFD"/>
    <w:rsid w:val="001C427A"/>
    <w:rsid w:val="001F1AF3"/>
    <w:rsid w:val="00241399"/>
    <w:rsid w:val="00286DD3"/>
    <w:rsid w:val="003D03A0"/>
    <w:rsid w:val="004C23C0"/>
    <w:rsid w:val="005954CF"/>
    <w:rsid w:val="00616730"/>
    <w:rsid w:val="00626669"/>
    <w:rsid w:val="006903D7"/>
    <w:rsid w:val="00805EC4"/>
    <w:rsid w:val="008D5245"/>
    <w:rsid w:val="009517E1"/>
    <w:rsid w:val="009D2CA8"/>
    <w:rsid w:val="00A34EB6"/>
    <w:rsid w:val="00A41E53"/>
    <w:rsid w:val="00AE086D"/>
    <w:rsid w:val="00B71319"/>
    <w:rsid w:val="00C574E0"/>
    <w:rsid w:val="00D01166"/>
    <w:rsid w:val="00DF65F1"/>
    <w:rsid w:val="00EB3B18"/>
    <w:rsid w:val="00F113A5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05FA"/>
  <w15:docId w15:val="{713DBF77-82FB-4857-8D44-F62303B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01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B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6C"/>
  </w:style>
  <w:style w:type="paragraph" w:styleId="Footer">
    <w:name w:val="footer"/>
    <w:basedOn w:val="Normal"/>
    <w:link w:val="FooterChar"/>
    <w:uiPriority w:val="99"/>
    <w:unhideWhenUsed/>
    <w:rsid w:val="000C4B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f.edu/cut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6404-2162-4AB6-AD89-9EB76CAC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Burns</dc:creator>
  <cp:lastModifiedBy>Karen Burns</cp:lastModifiedBy>
  <cp:revision>7</cp:revision>
  <cp:lastPrinted>2021-07-31T21:33:00Z</cp:lastPrinted>
  <dcterms:created xsi:type="dcterms:W3CDTF">2021-07-31T23:44:00Z</dcterms:created>
  <dcterms:modified xsi:type="dcterms:W3CDTF">2021-08-01T03:30:00Z</dcterms:modified>
</cp:coreProperties>
</file>