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1794" w14:textId="67903B45" w:rsidR="00940AFB" w:rsidRDefault="00940AFB">
      <w:pPr>
        <w:rPr>
          <w:rFonts w:ascii="Playfair Display" w:hAnsi="Playfair Display"/>
          <w:color w:val="000000"/>
          <w:shd w:val="clear" w:color="auto" w:fill="FFFFFF"/>
        </w:rPr>
      </w:pPr>
      <w:r w:rsidRPr="00FD0040">
        <w:rPr>
          <w:rFonts w:ascii="Playfair Display" w:hAnsi="Playfair Display"/>
          <w:noProof/>
          <w:color w:val="70AD47" w:themeColor="accent6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BF2A517" wp14:editId="79F89035">
            <wp:simplePos x="0" y="0"/>
            <wp:positionH relativeFrom="margin">
              <wp:align>center</wp:align>
            </wp:positionH>
            <wp:positionV relativeFrom="paragraph">
              <wp:posOffset>-256540</wp:posOffset>
            </wp:positionV>
            <wp:extent cx="8058150" cy="5511948"/>
            <wp:effectExtent l="0" t="0" r="0" b="0"/>
            <wp:wrapNone/>
            <wp:docPr id="1" name="Picture 1" descr="A picture containing text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tationa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511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D4F1E" w14:textId="3200FA0E" w:rsidR="00940AFB" w:rsidRDefault="00940AFB">
      <w:pPr>
        <w:rPr>
          <w:rFonts w:ascii="Playfair Display" w:hAnsi="Playfair Display"/>
          <w:color w:val="000000"/>
          <w:shd w:val="clear" w:color="auto" w:fill="FFFFFF"/>
        </w:rPr>
      </w:pPr>
    </w:p>
    <w:p w14:paraId="6A85C1DA" w14:textId="77777777" w:rsidR="00940AFB" w:rsidRDefault="00940AFB">
      <w:pPr>
        <w:rPr>
          <w:rFonts w:ascii="Playfair Display" w:hAnsi="Playfair Display"/>
          <w:color w:val="000000"/>
          <w:shd w:val="clear" w:color="auto" w:fill="FFFFFF"/>
        </w:rPr>
      </w:pPr>
    </w:p>
    <w:p w14:paraId="50CA19F8" w14:textId="77777777" w:rsidR="00940AFB" w:rsidRDefault="00940AFB">
      <w:pPr>
        <w:rPr>
          <w:rFonts w:ascii="Playfair Display" w:hAnsi="Playfair Display"/>
          <w:color w:val="000000"/>
          <w:shd w:val="clear" w:color="auto" w:fill="FFFFFF"/>
        </w:rPr>
      </w:pPr>
    </w:p>
    <w:p w14:paraId="0408D491" w14:textId="5EE78639" w:rsidR="005A4A8D" w:rsidRPr="004260FA" w:rsidRDefault="004260FA">
      <w:pPr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Playfair Display" w:hAnsi="Playfair Display"/>
          <w:color w:val="000000"/>
          <w:shd w:val="clear" w:color="auto" w:fill="FFFFFF"/>
        </w:rPr>
        <w:t>“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I have concluded that </w:t>
      </w:r>
      <w:r w:rsidR="00573D4C" w:rsidRPr="00FD0040">
        <w:rPr>
          <w:rFonts w:ascii="Bahnschrift SemiLight" w:hAnsi="Bahnschrift SemiLight"/>
          <w:color w:val="FF0000"/>
          <w:sz w:val="24"/>
          <w:szCs w:val="24"/>
          <w:shd w:val="clear" w:color="auto" w:fill="FFFFFF"/>
        </w:rPr>
        <w:t>life-based writing</w:t>
      </w:r>
      <w:r w:rsidR="00573D4C" w:rsidRPr="00FD0040">
        <w:rPr>
          <w:rFonts w:ascii="Playfair Display" w:hAnsi="Playfair Display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573D4C" w:rsidRPr="000D1CF1">
          <w:rPr>
            <w:rStyle w:val="Hyperlink"/>
            <w:rFonts w:ascii="Playfair Display" w:hAnsi="Playfair Display"/>
            <w:shd w:val="clear" w:color="auto" w:fill="FFFFFF"/>
          </w:rPr>
          <w:t xml:space="preserve">(in the form of </w:t>
        </w:r>
        <w:r w:rsidR="00573D4C" w:rsidRPr="000D1CF1">
          <w:rPr>
            <w:rStyle w:val="Hyperlink"/>
            <w:rFonts w:ascii="Segoe Script" w:hAnsi="Segoe Script"/>
            <w:sz w:val="24"/>
            <w:szCs w:val="24"/>
            <w:shd w:val="clear" w:color="auto" w:fill="FFFFFF"/>
          </w:rPr>
          <w:t>journaling</w:t>
        </w:r>
        <w:r w:rsidR="00573D4C" w:rsidRPr="000D1CF1">
          <w:rPr>
            <w:rStyle w:val="Hyperlink"/>
            <w:rFonts w:ascii="Playfair Display" w:hAnsi="Playfair Display"/>
            <w:shd w:val="clear" w:color="auto" w:fill="FFFFFF"/>
          </w:rPr>
          <w:t>)</w:t>
        </w:r>
      </w:hyperlink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 is an effective </w:t>
      </w:r>
      <w:r w:rsidR="00573D4C" w:rsidRPr="00C91E2A">
        <w:rPr>
          <w:rFonts w:ascii="Playfair Display" w:hAnsi="Playfair Display"/>
          <w:b/>
          <w:bCs/>
          <w:color w:val="000000"/>
          <w:sz w:val="24"/>
          <w:szCs w:val="24"/>
          <w:shd w:val="clear" w:color="auto" w:fill="FFFFFF"/>
        </w:rPr>
        <w:t>engagement strategy</w:t>
      </w:r>
      <w:r w:rsidR="00573D4C" w:rsidRPr="00FD0040">
        <w:rPr>
          <w:rFonts w:ascii="Playfair Display" w:hAnsi="Playfair Display"/>
          <w:color w:val="000000"/>
          <w:sz w:val="24"/>
          <w:szCs w:val="24"/>
          <w:shd w:val="clear" w:color="auto" w:fill="FFFFFF"/>
        </w:rPr>
        <w:t xml:space="preserve"> 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that encourages students to </w:t>
      </w:r>
      <w:r w:rsidR="00573D4C" w:rsidRPr="00FD0040">
        <w:rPr>
          <w:rFonts w:ascii="Modern Love Grunge" w:hAnsi="Modern Love Grunge"/>
          <w:color w:val="7030A0"/>
          <w:sz w:val="24"/>
          <w:szCs w:val="24"/>
          <w:shd w:val="clear" w:color="auto" w:fill="FFFFFF"/>
        </w:rPr>
        <w:t>personalize</w:t>
      </w:r>
      <w:r w:rsidR="00573D4C" w:rsidRPr="00FD0040">
        <w:rPr>
          <w:rFonts w:ascii="Playfair Display" w:hAnsi="Playfair Display"/>
          <w:color w:val="000000"/>
          <w:sz w:val="24"/>
          <w:szCs w:val="24"/>
          <w:shd w:val="clear" w:color="auto" w:fill="FFFFFF"/>
        </w:rPr>
        <w:t xml:space="preserve"> 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course content by relating it to their </w:t>
      </w:r>
      <w:r w:rsidR="00573D4C" w:rsidRPr="00FD0040">
        <w:rPr>
          <w:rFonts w:ascii="Arial" w:hAnsi="Arial" w:cs="Arial"/>
          <w:b/>
          <w:bCs/>
          <w:color w:val="70AD47" w:themeColor="accent6"/>
          <w:sz w:val="24"/>
          <w:szCs w:val="24"/>
          <w:shd w:val="clear" w:color="auto" w:fill="FFFFFF"/>
        </w:rPr>
        <w:t>everyday experiences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. I have arrived at this conclusion </w:t>
      </w:r>
      <w:r w:rsidR="00573D4C" w:rsidRPr="00FD0040">
        <w:rPr>
          <w:rFonts w:ascii="Wingdings" w:hAnsi="Wingdings"/>
          <w:color w:val="000000"/>
          <w:shd w:val="clear" w:color="auto" w:fill="FFFFFF"/>
        </w:rPr>
        <w:sym w:font="Wingdings" w:char="F024"/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 through a combination of decades of informal </w:t>
      </w:r>
      <w:r w:rsidR="00573D4C" w:rsidRPr="00FD0040">
        <w:rPr>
          <w:rFonts w:ascii="Cordia New" w:hAnsi="Cordia New" w:cs="Cordia New" w:hint="cs"/>
          <w:color w:val="000000"/>
          <w:sz w:val="24"/>
          <w:szCs w:val="24"/>
          <w:shd w:val="clear" w:color="auto" w:fill="FFFFFF"/>
        </w:rPr>
        <w:t>classroom observations</w:t>
      </w:r>
      <w:r w:rsidR="00573D4C" w:rsidRPr="00FD0040">
        <w:rPr>
          <w:rFonts w:ascii="Playfair Display" w:hAnsi="Playfair Display"/>
          <w:color w:val="000000"/>
          <w:sz w:val="24"/>
          <w:szCs w:val="24"/>
          <w:shd w:val="clear" w:color="auto" w:fill="FFFFFF"/>
        </w:rPr>
        <w:t xml:space="preserve"> 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and my own </w:t>
      </w:r>
      <w:r w:rsidR="00573D4C" w:rsidRPr="00FD0040">
        <w:rPr>
          <w:rFonts w:ascii="Cordia New" w:hAnsi="Cordia New" w:cs="Cordia New" w:hint="cs"/>
          <w:color w:val="000000"/>
          <w:sz w:val="24"/>
          <w:szCs w:val="24"/>
          <w:shd w:val="clear" w:color="auto" w:fill="FFFFFF"/>
        </w:rPr>
        <w:t>classroom-based research findings</w:t>
      </w:r>
      <w:r w:rsidR="00573D4C" w:rsidRPr="00FD0040">
        <w:rPr>
          <w:rFonts w:ascii="Playfair Display" w:hAnsi="Playfair Display"/>
          <w:color w:val="000000"/>
          <w:sz w:val="24"/>
          <w:szCs w:val="24"/>
          <w:shd w:val="clear" w:color="auto" w:fill="FFFFFF"/>
        </w:rPr>
        <w:t xml:space="preserve"> 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over this same time frame that calls upon the scholarship of </w:t>
      </w:r>
      <w:r w:rsidR="00573D4C" w:rsidRPr="00FD0040">
        <w:rPr>
          <w:rFonts w:ascii="Playfair Display" w:hAnsi="Playfair Display"/>
          <w:color w:val="000000"/>
          <w:sz w:val="24"/>
          <w:szCs w:val="24"/>
          <w:shd w:val="clear" w:color="auto" w:fill="FFFFFF"/>
        </w:rPr>
        <w:t>teaching and learning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. Overall, these findings show that journaling </w:t>
      </w:r>
      <w:r w:rsidR="00573D4C" w:rsidRPr="00FD0040">
        <w:rPr>
          <w:rFonts w:ascii="Comic Sans MS" w:hAnsi="Comic Sans MS"/>
          <w:b/>
          <w:bCs/>
          <w:color w:val="ED7D31" w:themeColor="accent2"/>
          <w:sz w:val="24"/>
          <w:szCs w:val="24"/>
          <w:shd w:val="clear" w:color="auto" w:fill="FFFFFF"/>
        </w:rPr>
        <w:t>compares favorably</w:t>
      </w:r>
      <w:r w:rsidR="00573D4C" w:rsidRPr="00FD0040">
        <w:rPr>
          <w:rFonts w:ascii="Playfair Display" w:hAnsi="Playfair Display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to more </w:t>
      </w:r>
      <w:r w:rsidR="00573D4C" w:rsidRPr="00FD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traditional 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written assignments—including </w:t>
      </w:r>
      <w:r w:rsidR="00573D4C" w:rsidRPr="00FD0040">
        <w:rPr>
          <w:rFonts w:ascii="Gill Sans Nova Cond XBd" w:hAnsi="Gill Sans Nova Cond XBd"/>
          <w:color w:val="000000"/>
          <w:shd w:val="clear" w:color="auto" w:fill="FFFFFF"/>
        </w:rPr>
        <w:t>term papers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—in terms of stimulating </w:t>
      </w:r>
      <w:r w:rsidR="00573D4C" w:rsidRPr="00FD0040">
        <w:rPr>
          <w:rFonts w:ascii="Miriam Fixed" w:hAnsi="Miriam Fixed" w:cs="Miriam Fixed" w:hint="cs"/>
          <w:color w:val="000000"/>
          <w:shd w:val="clear" w:color="auto" w:fill="FFFFFF"/>
        </w:rPr>
        <w:t>analytical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 and </w:t>
      </w:r>
      <w:r w:rsidR="00573D4C" w:rsidRPr="00FD0040">
        <w:rPr>
          <w:rFonts w:ascii="Mystical Woods Rough Script" w:hAnsi="Mystical Woods Rough Script"/>
          <w:color w:val="C00000"/>
          <w:shd w:val="clear" w:color="auto" w:fill="FFFFFF"/>
        </w:rPr>
        <w:t>creative thinking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, </w:t>
      </w:r>
      <w:r w:rsidR="00573D4C" w:rsidRPr="00FD0040">
        <w:rPr>
          <w:rFonts w:ascii="Playfair Display" w:hAnsi="Playfair Display"/>
          <w:color w:val="4472C4" w:themeColor="accent1"/>
          <w:shd w:val="clear" w:color="auto" w:fill="FFFFFF"/>
        </w:rPr>
        <w:t>self-directed learning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, awareness of </w:t>
      </w:r>
      <w:r w:rsidR="00573D4C" w:rsidRPr="00FD0040">
        <w:rPr>
          <w:rFonts w:ascii="Bahnschrift SemiBold SemiConden" w:hAnsi="Bahnschrift SemiBold SemiConden"/>
          <w:color w:val="FFD966" w:themeColor="accent4" w:themeTint="99"/>
          <w:sz w:val="28"/>
          <w:szCs w:val="28"/>
          <w:shd w:val="clear" w:color="auto" w:fill="FFFFFF"/>
        </w:rPr>
        <w:t>course relevance to real-world events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, understanding of </w:t>
      </w:r>
      <w:r w:rsidR="00573D4C" w:rsidRPr="00FD0040">
        <w:rPr>
          <w:rFonts w:ascii="Playfair Display" w:hAnsi="Playfair Display"/>
          <w:color w:val="70AD47" w:themeColor="accent6"/>
          <w:sz w:val="24"/>
          <w:szCs w:val="24"/>
          <w:shd w:val="clear" w:color="auto" w:fill="FFFFFF"/>
        </w:rPr>
        <w:t xml:space="preserve">self 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>and</w:t>
      </w:r>
      <w:r w:rsidR="00573D4C" w:rsidRPr="00FD0040">
        <w:rPr>
          <w:rFonts w:ascii="Playfair Display" w:hAnsi="Playfair Display"/>
          <w:i/>
          <w:iCs/>
          <w:color w:val="7030A0"/>
          <w:sz w:val="24"/>
          <w:szCs w:val="24"/>
          <w:shd w:val="clear" w:color="auto" w:fill="FFFFFF"/>
        </w:rPr>
        <w:t xml:space="preserve"> others</w:t>
      </w:r>
      <w:r w:rsidR="00573D4C" w:rsidRPr="00FD0040">
        <w:rPr>
          <w:rFonts w:ascii="Playfair Display" w:hAnsi="Playfair Display"/>
          <w:color w:val="000000"/>
          <w:shd w:val="clear" w:color="auto" w:fill="FFFFFF"/>
        </w:rPr>
        <w:t xml:space="preserve">, and </w:t>
      </w:r>
      <w:r w:rsidR="00573D4C" w:rsidRPr="00C91E2A">
        <w:rPr>
          <w:rFonts w:ascii="Playfair Display" w:hAnsi="Playfair Display"/>
          <w:b/>
          <w:bCs/>
          <w:color w:val="000000"/>
          <w:sz w:val="24"/>
          <w:szCs w:val="24"/>
          <w:shd w:val="clear" w:color="auto" w:fill="FFFFFF"/>
        </w:rPr>
        <w:t>interest in the subject matter</w:t>
      </w:r>
      <w:r>
        <w:rPr>
          <w:rFonts w:ascii="Playfair Display" w:hAnsi="Playfair Display"/>
          <w:b/>
          <w:bCs/>
          <w:color w:val="000000"/>
          <w:sz w:val="24"/>
          <w:szCs w:val="24"/>
          <w:shd w:val="clear" w:color="auto" w:fill="FFFFFF"/>
        </w:rPr>
        <w:t xml:space="preserve">” –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J.A.Mayo</w:t>
      </w:r>
      <w:proofErr w:type="spellEnd"/>
    </w:p>
    <w:p w14:paraId="16A427B9" w14:textId="3294A6BF" w:rsidR="0077113F" w:rsidRDefault="0077113F">
      <w:pPr>
        <w:rPr>
          <w:rFonts w:ascii="Playfair Display" w:hAnsi="Playfair Display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BCDAC41" w14:textId="6C55FC4C" w:rsidR="0077113F" w:rsidRDefault="0077113F">
      <w:pPr>
        <w:rPr>
          <w:rFonts w:ascii="Playfair Display" w:hAnsi="Playfair Display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9BCE2C6" w14:textId="1E54A6D0" w:rsidR="0077113F" w:rsidRDefault="0077113F">
      <w:pPr>
        <w:rPr>
          <w:rFonts w:ascii="Playfair Display" w:hAnsi="Playfair Display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0904E15" w14:textId="2B105146" w:rsidR="0077113F" w:rsidRDefault="0077113F">
      <w:pPr>
        <w:rPr>
          <w:rFonts w:ascii="Playfair Display" w:hAnsi="Playfair Display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C0AB582" w14:textId="31E21637" w:rsidR="0077113F" w:rsidRDefault="0077113F">
      <w:pPr>
        <w:rPr>
          <w:rFonts w:ascii="Playfair Display" w:hAnsi="Playfair Display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97B1B97" w14:textId="12DE4102" w:rsidR="0077113F" w:rsidRDefault="0077113F">
      <w:pPr>
        <w:rPr>
          <w:rFonts w:ascii="Playfair Display" w:hAnsi="Playfair Display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3709256" w14:textId="0AB3DFE9" w:rsidR="0077113F" w:rsidRPr="00C91E2A" w:rsidRDefault="0077113F">
      <w:pPr>
        <w:rPr>
          <w:rFonts w:cstheme="minorHAnsi"/>
          <w:lang w:val="fr-FR"/>
        </w:rPr>
      </w:pPr>
      <w:r w:rsidRPr="00C91E2A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Source: </w:t>
      </w:r>
      <w:hyperlink r:id="rId8" w:history="1">
        <w:r w:rsidR="00C91E2A" w:rsidRPr="00FE4D16">
          <w:rPr>
            <w:rStyle w:val="Hyperlink"/>
            <w:rFonts w:cstheme="minorHAnsi"/>
            <w:sz w:val="24"/>
            <w:szCs w:val="24"/>
            <w:shd w:val="clear" w:color="auto" w:fill="FFFFFF"/>
            <w:lang w:val="fr-FR"/>
          </w:rPr>
          <w:t>https://openfacultypatchbook.org/asessment/patch-twenty-five-write-your-life/</w:t>
        </w:r>
      </w:hyperlink>
      <w:r w:rsidR="00C91E2A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sectPr w:rsidR="0077113F" w:rsidRPr="00C91E2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4039" w14:textId="77777777" w:rsidR="00E30F23" w:rsidRDefault="00E30F23" w:rsidP="00E30F23">
      <w:pPr>
        <w:spacing w:after="0" w:line="240" w:lineRule="auto"/>
      </w:pPr>
      <w:r>
        <w:separator/>
      </w:r>
    </w:p>
  </w:endnote>
  <w:endnote w:type="continuationSeparator" w:id="0">
    <w:p w14:paraId="5125022B" w14:textId="77777777" w:rsidR="00E30F23" w:rsidRDefault="00E30F23" w:rsidP="00E3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Mystical Woods Rough Script">
    <w:charset w:val="00"/>
    <w:family w:val="auto"/>
    <w:pitch w:val="variable"/>
    <w:sig w:usb0="2000000F" w:usb1="10000000" w:usb2="00000000" w:usb3="00000000" w:csb0="0000009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BA2B" w14:textId="77777777" w:rsidR="00E30F23" w:rsidRDefault="00E30F23" w:rsidP="00E30F23">
      <w:pPr>
        <w:spacing w:after="0" w:line="240" w:lineRule="auto"/>
      </w:pPr>
      <w:r>
        <w:separator/>
      </w:r>
    </w:p>
  </w:footnote>
  <w:footnote w:type="continuationSeparator" w:id="0">
    <w:p w14:paraId="432DD7E2" w14:textId="77777777" w:rsidR="00E30F23" w:rsidRDefault="00E30F23" w:rsidP="00E3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EDD2" w14:textId="735AC403" w:rsidR="00E30F23" w:rsidRPr="00254395" w:rsidRDefault="00254395">
    <w:pPr>
      <w:pStyle w:val="Header"/>
      <w:rPr>
        <w:lang w:val="en-US"/>
      </w:rPr>
    </w:pPr>
    <w:r>
      <w:rPr>
        <w:lang w:val="en-US"/>
      </w:rPr>
      <w:t>Thought Vectors and Nuggets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C"/>
    <w:rsid w:val="000D1CF1"/>
    <w:rsid w:val="00254395"/>
    <w:rsid w:val="00425E30"/>
    <w:rsid w:val="004260FA"/>
    <w:rsid w:val="00573D4C"/>
    <w:rsid w:val="0077113F"/>
    <w:rsid w:val="00940AFB"/>
    <w:rsid w:val="009E3370"/>
    <w:rsid w:val="00C91E2A"/>
    <w:rsid w:val="00E30F23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2CB9"/>
  <w15:chartTrackingRefBased/>
  <w15:docId w15:val="{8EE018B8-B71A-4D16-86E2-1E158D60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C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23"/>
  </w:style>
  <w:style w:type="paragraph" w:styleId="Footer">
    <w:name w:val="footer"/>
    <w:basedOn w:val="Normal"/>
    <w:link w:val="FooterChar"/>
    <w:uiPriority w:val="99"/>
    <w:unhideWhenUsed/>
    <w:rsid w:val="00E3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facultypatchbook.org/asessment/patch-twenty-five-write-your-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a.edu/blog/ways-journaling-benefits-stud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Drake</dc:creator>
  <cp:keywords/>
  <dc:description/>
  <cp:lastModifiedBy>Nicole Drake</cp:lastModifiedBy>
  <cp:revision>7</cp:revision>
  <dcterms:created xsi:type="dcterms:W3CDTF">2022-04-01T20:16:00Z</dcterms:created>
  <dcterms:modified xsi:type="dcterms:W3CDTF">2022-04-08T00:10:00Z</dcterms:modified>
</cp:coreProperties>
</file>