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631" w:rsidRDefault="00000000" w:rsidP="00971D75">
      <w:pPr>
        <w:pStyle w:val="Title"/>
        <w:spacing w:after="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:rsidR="00AD2631" w:rsidRDefault="00971D75" w:rsidP="00971D75">
      <w:pPr>
        <w:pStyle w:val="Subtitle"/>
        <w:spacing w:after="0"/>
        <w:jc w:val="center"/>
        <w:rPr>
          <w:sz w:val="28"/>
          <w:szCs w:val="28"/>
        </w:rPr>
      </w:pPr>
      <w:bookmarkStart w:id="1" w:name="_4lk4e4ouqdig" w:colFirst="0" w:colLast="0"/>
      <w:bookmarkEnd w:id="1"/>
      <w:r>
        <w:rPr>
          <w:sz w:val="28"/>
          <w:szCs w:val="28"/>
        </w:rPr>
        <w:t>B</w:t>
      </w:r>
      <w:r w:rsidR="00000000">
        <w:rPr>
          <w:sz w:val="28"/>
          <w:szCs w:val="28"/>
        </w:rPr>
        <w:t>y</w:t>
      </w:r>
      <w:r>
        <w:rPr>
          <w:sz w:val="28"/>
          <w:szCs w:val="28"/>
        </w:rPr>
        <w:t xml:space="preserve"> Munise Gultekin, Conestoga College</w:t>
      </w:r>
    </w:p>
    <w:p w:rsidR="00971D75" w:rsidRPr="00971D75" w:rsidRDefault="00971D75" w:rsidP="00971D75"/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AD2631" w:rsidTr="006F7217">
        <w:trPr>
          <w:trHeight w:val="438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631" w:rsidRDefault="00000000" w:rsidP="00971D75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:rsidR="00971D75" w:rsidRPr="00971D75" w:rsidRDefault="00971D75" w:rsidP="00971D75">
            <w:pPr>
              <w:spacing w:line="279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Research Question: What are the strategies that hinder or help students learn in my course, and how can I improve their learning outcomes?</w:t>
            </w:r>
            <w:r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br/>
            </w:r>
            <w:r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br/>
            </w:r>
            <w:r w:rsidRPr="00971D75">
              <w:rPr>
                <w:rFonts w:ascii="Calibri" w:eastAsia="Calibri" w:hAnsi="Calibri" w:cs="Calibri"/>
                <w:b/>
                <w:bCs/>
                <w:sz w:val="23"/>
                <w:szCs w:val="23"/>
                <w:lang w:val="en-US"/>
              </w:rPr>
              <w:t>3 Motivation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  <w:lang w:val="en-US"/>
              </w:rPr>
              <w:t>s</w:t>
            </w:r>
          </w:p>
          <w:p w:rsidR="00971D75" w:rsidRPr="00971D75" w:rsidRDefault="00971D75" w:rsidP="00971D75">
            <w:pPr>
              <w:numPr>
                <w:ilvl w:val="0"/>
                <w:numId w:val="1"/>
              </w:numPr>
              <w:spacing w:line="279" w:lineRule="auto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Promotion of new networks among members at institutions: Professional organizations and conferences can help me build new networks, access valuable resources, and stay up-to-date on trends in their field.</w:t>
            </w:r>
          </w:p>
          <w:p w:rsidR="00971D75" w:rsidRPr="00971D75" w:rsidRDefault="00971D75" w:rsidP="00971D75">
            <w:pPr>
              <w:numPr>
                <w:ilvl w:val="0"/>
                <w:numId w:val="1"/>
              </w:numPr>
              <w:spacing w:line="279" w:lineRule="auto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Scholarship opportunities in the form of presentations and publications: Presenting at conferences or publishing in professional journals can help me gain recognition and feedback on their work while providing me with new ideas for teaching and learning.</w:t>
            </w:r>
          </w:p>
          <w:p w:rsidR="00AD2631" w:rsidRPr="006F7217" w:rsidRDefault="00971D75" w:rsidP="006F7217">
            <w:pPr>
              <w:numPr>
                <w:ilvl w:val="0"/>
                <w:numId w:val="1"/>
              </w:numPr>
              <w:spacing w:line="279" w:lineRule="auto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Renewed excitement about teaching and learning, and greater self-awareness: Professional development opportunities can inspire me, encourage self-reflection and lead to a renewed passion for teaching and learning.</w:t>
            </w:r>
          </w:p>
        </w:tc>
      </w:tr>
      <w:tr w:rsidR="00AD2631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631" w:rsidRDefault="00000000" w:rsidP="00971D75">
            <w:pPr>
              <w:spacing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:rsidR="00AD2631" w:rsidRPr="006F7217" w:rsidRDefault="00971D75" w:rsidP="006F7217">
            <w:pPr>
              <w:spacing w:line="279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Identify challenge/outcome related to learning: </w:t>
            </w:r>
            <w:r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br/>
            </w: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Challenge/Outcome: Improving English language proficiency and communicative competence in adult learners </w:t>
            </w:r>
            <w:r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br/>
            </w: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Measurement: Qualitative - Assessing students' ability to use </w:t>
            </w:r>
            <w:r w:rsidR="006F7217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the </w:t>
            </w: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English language in real-life communication situations, such as holding conversations, participating in discussions, or delivering presentations.</w:t>
            </w:r>
          </w:p>
        </w:tc>
      </w:tr>
      <w:tr w:rsidR="00AD2631" w:rsidTr="006F7217">
        <w:trPr>
          <w:trHeight w:val="251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631" w:rsidRDefault="00000000" w:rsidP="00971D75">
            <w:pPr>
              <w:spacing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instructional activity, assignment, or teaching strategy that will promote student learning on the outcome you identified.</w:t>
            </w:r>
          </w:p>
          <w:p w:rsidR="00971D75" w:rsidRPr="00971D75" w:rsidRDefault="00971D75" w:rsidP="00971D75">
            <w:pPr>
              <w:spacing w:line="279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Instructional Activity/Teaching Strategy: Implementing a student-centered approach to language teaching, incorporating interactive and communicative activities that engage learners in authentic language use.</w:t>
            </w:r>
          </w:p>
          <w:p w:rsidR="00AD2631" w:rsidRPr="006F7217" w:rsidRDefault="00971D75" w:rsidP="006F7217">
            <w:pPr>
              <w:spacing w:line="279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SoTL Project Modification: Modifying the traditional lecture-based teaching approach to a communicative language teaching approach, where learners are encouraged to interact with each other in real-life communication situations.</w:t>
            </w:r>
          </w:p>
        </w:tc>
      </w:tr>
      <w:tr w:rsidR="00AD2631" w:rsidTr="006F7217">
        <w:trPr>
          <w:trHeight w:val="2618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631" w:rsidRDefault="00000000" w:rsidP="00971D75">
            <w:pPr>
              <w:spacing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evidence that would persuade an external audience that the new or modified teaching strategy improves student learning on the targeted learning outcome.</w:t>
            </w:r>
          </w:p>
          <w:p w:rsidR="00AD2631" w:rsidRPr="006F7217" w:rsidRDefault="00971D75" w:rsidP="006F7217">
            <w:pPr>
              <w:spacing w:line="279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Evidence for Improvement: Comparing the performance of students in </w:t>
            </w:r>
            <w:r w:rsidR="006F7217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 xml:space="preserve">the </w:t>
            </w: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communicative language teaching approach to those in the traditional lecture-based approach through observation of real-life communication situations and assessment of language proficiency levels.</w:t>
            </w:r>
          </w:p>
        </w:tc>
      </w:tr>
      <w:tr w:rsidR="00AD2631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631" w:rsidRDefault="00000000" w:rsidP="00971D75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:rsidR="00971D75" w:rsidRPr="006F7217" w:rsidRDefault="00971D75" w:rsidP="006F7217">
            <w:pPr>
              <w:spacing w:line="306" w:lineRule="auto"/>
              <w:ind w:left="160"/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</w:pPr>
            <w:r w:rsidRPr="00971D75">
              <w:rPr>
                <w:rFonts w:ascii="Calibri" w:eastAsia="Calibri" w:hAnsi="Calibri" w:cs="Calibri"/>
                <w:bCs/>
                <w:sz w:val="23"/>
                <w:szCs w:val="23"/>
                <w:lang w:val="en-US"/>
              </w:rPr>
              <w:t>Publication/Dissemination: The findings will be presented at language teaching conferences, published in language teaching journals, and disseminated through professional networks and online platforms.</w:t>
            </w:r>
          </w:p>
        </w:tc>
      </w:tr>
    </w:tbl>
    <w:p w:rsidR="00AD2631" w:rsidRDefault="00000000" w:rsidP="00971D75">
      <w:pPr>
        <w:spacing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71D75" w:rsidRDefault="00971D75" w:rsidP="00971D75">
      <w:pPr>
        <w:spacing w:line="280" w:lineRule="auto"/>
        <w:rPr>
          <w:rFonts w:ascii="Calibri" w:eastAsia="Calibri" w:hAnsi="Calibri" w:cs="Calibri"/>
          <w:sz w:val="23"/>
          <w:szCs w:val="23"/>
        </w:rPr>
      </w:pPr>
    </w:p>
    <w:p w:rsidR="00AD2631" w:rsidRDefault="00000000" w:rsidP="00971D75">
      <w:pPr>
        <w:spacing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:rsidR="00AD2631" w:rsidRDefault="00000000" w:rsidP="00971D75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:rsidR="00AD2631" w:rsidRDefault="00000000" w:rsidP="00971D75">
      <w:r>
        <w:fldChar w:fldCharType="end"/>
      </w:r>
    </w:p>
    <w:sectPr w:rsidR="00AD26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2CF"/>
    <w:multiLevelType w:val="multilevel"/>
    <w:tmpl w:val="3E20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1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31"/>
    <w:rsid w:val="006F7217"/>
    <w:rsid w:val="00971D75"/>
    <w:rsid w:val="00A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8461A"/>
  <w15:docId w15:val="{68C3155E-E50F-454E-8523-12EF473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1D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Munise Gultekin</cp:lastModifiedBy>
  <cp:revision>2</cp:revision>
  <dcterms:created xsi:type="dcterms:W3CDTF">2023-02-23T19:11:00Z</dcterms:created>
  <dcterms:modified xsi:type="dcterms:W3CDTF">2023-02-23T19:25:00Z</dcterms:modified>
</cp:coreProperties>
</file>