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43D29" w14:textId="4DD60B4C" w:rsidR="00687CC6" w:rsidRPr="00D64591" w:rsidRDefault="00D64591" w:rsidP="00D64591">
      <w:pPr>
        <w:jc w:val="center"/>
        <w:rPr>
          <w:b/>
          <w:bCs/>
        </w:rPr>
      </w:pPr>
      <w:r w:rsidRPr="00D64591">
        <w:rPr>
          <w:b/>
          <w:bCs/>
        </w:rPr>
        <w:t xml:space="preserve">Ontario </w:t>
      </w:r>
      <w:proofErr w:type="spellStart"/>
      <w:r w:rsidRPr="00D64591">
        <w:rPr>
          <w:b/>
          <w:bCs/>
        </w:rPr>
        <w:t>Extend</w:t>
      </w:r>
      <w:proofErr w:type="spellEnd"/>
      <w:r w:rsidRPr="00D64591">
        <w:rPr>
          <w:b/>
          <w:bCs/>
        </w:rPr>
        <w:t> : session sprint</w:t>
      </w:r>
    </w:p>
    <w:p w14:paraId="69603138" w14:textId="77777777" w:rsidR="00CC41C7" w:rsidRDefault="00CC41C7"/>
    <w:p w14:paraId="6AFD415C" w14:textId="5433AFE4" w:rsidR="00CC41C7" w:rsidRDefault="00CC41C7">
      <w:r w:rsidRPr="00CC41C7">
        <w:rPr>
          <w:u w:val="single"/>
        </w:rPr>
        <w:t xml:space="preserve">Module pédagogue : Activité </w:t>
      </w:r>
      <w:r w:rsidR="001D7A7A">
        <w:rPr>
          <w:u w:val="single"/>
        </w:rPr>
        <w:t>4</w:t>
      </w:r>
    </w:p>
    <w:p w14:paraId="4F885F87" w14:textId="39B8FA9A" w:rsidR="001D7A7A" w:rsidRPr="001D7A7A" w:rsidRDefault="001D7A7A">
      <w:pPr>
        <w:rPr>
          <w:b/>
          <w:bCs/>
        </w:rPr>
      </w:pPr>
      <w:r w:rsidRPr="001D7A7A">
        <w:rPr>
          <w:b/>
          <w:bCs/>
        </w:rPr>
        <w:t>Description du cours :</w:t>
      </w:r>
    </w:p>
    <w:p w14:paraId="1801420D" w14:textId="77777777" w:rsidR="001D7A7A" w:rsidRPr="001D7A7A" w:rsidRDefault="001D7A7A" w:rsidP="001D7A7A">
      <w:pPr>
        <w:pStyle w:val="Corps"/>
        <w:spacing w:before="120"/>
        <w:jc w:val="both"/>
        <w:rPr>
          <w:rFonts w:asciiTheme="minorHAnsi" w:eastAsiaTheme="minorHAnsi" w:hAnsiTheme="minorHAnsi" w:cstheme="minorBidi"/>
          <w:color w:val="auto"/>
          <w:sz w:val="22"/>
          <w:szCs w:val="22"/>
          <w:bdr w:val="none" w:sz="0" w:space="0" w:color="auto"/>
          <w:lang w:eastAsia="en-US"/>
          <w14:ligatures w14:val="standardContextual"/>
        </w:rPr>
      </w:pPr>
      <w:r w:rsidRPr="001D7A7A">
        <w:rPr>
          <w:rFonts w:asciiTheme="minorHAnsi" w:eastAsiaTheme="minorHAnsi" w:hAnsiTheme="minorHAnsi" w:cstheme="minorBidi"/>
          <w:color w:val="auto"/>
          <w:sz w:val="22"/>
          <w:szCs w:val="22"/>
          <w:bdr w:val="none" w:sz="0" w:space="0" w:color="auto"/>
          <w:lang w:eastAsia="en-US"/>
          <w14:ligatures w14:val="standardContextual"/>
        </w:rPr>
        <w:t xml:space="preserve">Ce cours consiste en une introduction à l’histoire européenne du XVIe siècle (Grandes Découvertes) jusqu’au XIXe siècle (création de l’Union européenne). Il est divisé en trois blocs qui correspondent aux trois périodes étudiées lors de ce cours, soit la période moderne (1492-1799), le XIXe siècle (1799-1914) et le XXe siècle (1914-2014). Dans chacune de ces périodes, nous allons voir les éléments qui ont contribué à la construction de l’Europe et des pays européens distincts (économie, politique et relations internationales) et à l’élaboration d’une identité européenne (crises religieuses, transformations sociales et culture). </w:t>
      </w:r>
    </w:p>
    <w:p w14:paraId="34A77A08" w14:textId="77777777" w:rsidR="001D7A7A" w:rsidRDefault="001D7A7A"/>
    <w:p w14:paraId="72F905A2" w14:textId="0A560658" w:rsidR="001D7A7A" w:rsidRPr="001D7A7A" w:rsidRDefault="001D7A7A">
      <w:pPr>
        <w:rPr>
          <w:b/>
          <w:bCs/>
        </w:rPr>
      </w:pPr>
      <w:r w:rsidRPr="001D7A7A">
        <w:rPr>
          <w:b/>
          <w:bCs/>
        </w:rPr>
        <w:t>Objectifs du cours :</w:t>
      </w:r>
    </w:p>
    <w:p w14:paraId="3376F0D3" w14:textId="77777777" w:rsidR="001D7A7A" w:rsidRPr="001D7A7A" w:rsidRDefault="001D7A7A" w:rsidP="001D7A7A">
      <w:pPr>
        <w:pStyle w:val="Corps"/>
        <w:numPr>
          <w:ilvl w:val="0"/>
          <w:numId w:val="4"/>
        </w:numPr>
        <w:tabs>
          <w:tab w:val="left" w:pos="360"/>
        </w:tabs>
        <w:spacing w:before="120"/>
        <w:rPr>
          <w:rFonts w:asciiTheme="minorHAnsi" w:eastAsiaTheme="minorHAnsi" w:hAnsiTheme="minorHAnsi" w:cstheme="minorBidi"/>
          <w:color w:val="auto"/>
          <w:sz w:val="22"/>
          <w:szCs w:val="22"/>
          <w:bdr w:val="none" w:sz="0" w:space="0" w:color="auto"/>
          <w:lang w:eastAsia="en-US"/>
          <w14:ligatures w14:val="standardContextual"/>
        </w:rPr>
      </w:pPr>
      <w:r w:rsidRPr="001D7A7A">
        <w:rPr>
          <w:rFonts w:asciiTheme="minorHAnsi" w:eastAsiaTheme="minorHAnsi" w:hAnsiTheme="minorHAnsi" w:cstheme="minorBidi"/>
          <w:color w:val="auto"/>
          <w:sz w:val="22"/>
          <w:szCs w:val="22"/>
          <w:bdr w:val="none" w:sz="0" w:space="0" w:color="auto"/>
          <w:lang w:eastAsia="en-US"/>
          <w14:ligatures w14:val="standardContextual"/>
        </w:rPr>
        <w:t>Acquérir les connaissances de base sur l’histoire européenne entre le XVIe et le XXe siècle et pouvoir situer, dans le temps et dans l’espace, les moments clés de cette histoire ;</w:t>
      </w:r>
    </w:p>
    <w:p w14:paraId="7501A26B" w14:textId="77777777" w:rsidR="001D7A7A" w:rsidRPr="001D7A7A" w:rsidRDefault="001D7A7A" w:rsidP="001D7A7A">
      <w:pPr>
        <w:pStyle w:val="Corps"/>
        <w:numPr>
          <w:ilvl w:val="0"/>
          <w:numId w:val="4"/>
        </w:numPr>
        <w:tabs>
          <w:tab w:val="left" w:pos="360"/>
        </w:tabs>
        <w:rPr>
          <w:rFonts w:asciiTheme="minorHAnsi" w:eastAsiaTheme="minorHAnsi" w:hAnsiTheme="minorHAnsi" w:cstheme="minorBidi"/>
          <w:color w:val="auto"/>
          <w:sz w:val="22"/>
          <w:szCs w:val="22"/>
          <w:bdr w:val="none" w:sz="0" w:space="0" w:color="auto"/>
          <w:lang w:eastAsia="en-US"/>
          <w14:ligatures w14:val="standardContextual"/>
        </w:rPr>
      </w:pPr>
      <w:r w:rsidRPr="001D7A7A">
        <w:rPr>
          <w:rFonts w:asciiTheme="minorHAnsi" w:eastAsiaTheme="minorHAnsi" w:hAnsiTheme="minorHAnsi" w:cstheme="minorBidi"/>
          <w:color w:val="auto"/>
          <w:sz w:val="22"/>
          <w:szCs w:val="22"/>
          <w:bdr w:val="none" w:sz="0" w:space="0" w:color="auto"/>
          <w:lang w:eastAsia="en-US"/>
          <w14:ligatures w14:val="standardContextual"/>
        </w:rPr>
        <w:t>Comprendre les transformations politiques, économiques, sociales, religieuses et culturelles qui ont touché l’Europe depuis le XVIe siècle ;</w:t>
      </w:r>
    </w:p>
    <w:p w14:paraId="2764A68A" w14:textId="42FCFC03" w:rsidR="001D7A7A" w:rsidRDefault="001D7A7A" w:rsidP="001D7A7A">
      <w:pPr>
        <w:pStyle w:val="Corps"/>
        <w:numPr>
          <w:ilvl w:val="0"/>
          <w:numId w:val="4"/>
        </w:numPr>
        <w:tabs>
          <w:tab w:val="left" w:pos="360"/>
        </w:tabs>
        <w:rPr>
          <w:rFonts w:asciiTheme="minorHAnsi" w:eastAsiaTheme="minorHAnsi" w:hAnsiTheme="minorHAnsi" w:cstheme="minorBidi"/>
          <w:color w:val="auto"/>
          <w:sz w:val="22"/>
          <w:szCs w:val="22"/>
          <w:bdr w:val="none" w:sz="0" w:space="0" w:color="auto"/>
          <w:lang w:eastAsia="en-US"/>
          <w14:ligatures w14:val="standardContextual"/>
        </w:rPr>
      </w:pPr>
      <w:r w:rsidRPr="001D7A7A">
        <w:rPr>
          <w:rFonts w:asciiTheme="minorHAnsi" w:eastAsiaTheme="minorHAnsi" w:hAnsiTheme="minorHAnsi" w:cstheme="minorBidi"/>
          <w:color w:val="auto"/>
          <w:sz w:val="22"/>
          <w:szCs w:val="22"/>
          <w:bdr w:val="none" w:sz="0" w:space="0" w:color="auto"/>
          <w:lang w:eastAsia="en-US"/>
          <w14:ligatures w14:val="standardContextual"/>
        </w:rPr>
        <w:t>S’initier à l’étude des sources primaires et aux méthodes de recherche en histoire.</w:t>
      </w:r>
    </w:p>
    <w:p w14:paraId="4BBE6B57" w14:textId="77777777" w:rsidR="008B37F4" w:rsidRDefault="008B37F4" w:rsidP="008B37F4">
      <w:pPr>
        <w:pStyle w:val="Corps"/>
        <w:tabs>
          <w:tab w:val="left" w:pos="360"/>
        </w:tabs>
        <w:ind w:left="360"/>
        <w:rPr>
          <w:rFonts w:asciiTheme="minorHAnsi" w:eastAsiaTheme="minorHAnsi" w:hAnsiTheme="minorHAnsi" w:cstheme="minorBidi"/>
          <w:color w:val="auto"/>
          <w:sz w:val="22"/>
          <w:szCs w:val="22"/>
          <w:bdr w:val="none" w:sz="0" w:space="0" w:color="auto"/>
          <w:lang w:eastAsia="en-US"/>
          <w14:ligatures w14:val="standardContextual"/>
        </w:rPr>
      </w:pPr>
    </w:p>
    <w:p w14:paraId="2BEC75C8" w14:textId="77777777" w:rsidR="008B37F4" w:rsidRPr="008B37F4" w:rsidRDefault="008B37F4" w:rsidP="008B37F4">
      <w:pPr>
        <w:pStyle w:val="Corps"/>
        <w:tabs>
          <w:tab w:val="left" w:pos="360"/>
        </w:tabs>
        <w:ind w:left="360"/>
        <w:rPr>
          <w:rFonts w:asciiTheme="minorHAnsi" w:eastAsiaTheme="minorHAnsi" w:hAnsiTheme="minorHAnsi" w:cstheme="minorBidi"/>
          <w:color w:val="auto"/>
          <w:sz w:val="22"/>
          <w:szCs w:val="22"/>
          <w:bdr w:val="none" w:sz="0" w:space="0" w:color="auto"/>
          <w:lang w:eastAsia="en-US"/>
          <w14:ligatures w14:val="standardContextual"/>
        </w:rPr>
      </w:pPr>
    </w:p>
    <w:p w14:paraId="02C2D3E4" w14:textId="77638636" w:rsidR="001D7A7A" w:rsidRPr="001D7A7A" w:rsidRDefault="001D7A7A" w:rsidP="001D7A7A">
      <w:pPr>
        <w:pStyle w:val="Corps"/>
        <w:tabs>
          <w:tab w:val="left" w:pos="360"/>
        </w:tabs>
        <w:rPr>
          <w:rFonts w:asciiTheme="minorHAnsi" w:eastAsiaTheme="minorHAnsi" w:hAnsiTheme="minorHAnsi" w:cstheme="minorBidi"/>
          <w:b/>
          <w:bCs/>
          <w:color w:val="auto"/>
          <w:sz w:val="22"/>
          <w:szCs w:val="22"/>
          <w:bdr w:val="none" w:sz="0" w:space="0" w:color="auto"/>
          <w:lang w:eastAsia="en-US"/>
          <w14:ligatures w14:val="standardContextual"/>
        </w:rPr>
      </w:pPr>
      <w:r w:rsidRPr="001D7A7A">
        <w:rPr>
          <w:rFonts w:asciiTheme="minorHAnsi" w:eastAsiaTheme="minorHAnsi" w:hAnsiTheme="minorHAnsi" w:cstheme="minorBidi"/>
          <w:b/>
          <w:bCs/>
          <w:color w:val="auto"/>
          <w:sz w:val="22"/>
          <w:szCs w:val="22"/>
          <w:bdr w:val="none" w:sz="0" w:space="0" w:color="auto"/>
          <w:lang w:eastAsia="en-US"/>
          <w14:ligatures w14:val="standardContextual"/>
        </w:rPr>
        <w:t>Compétences acquises :</w:t>
      </w:r>
    </w:p>
    <w:p w14:paraId="57E9B363" w14:textId="76940E89" w:rsidR="001D7A7A" w:rsidRDefault="00136B9B" w:rsidP="001D7A7A">
      <w:pPr>
        <w:pStyle w:val="Corps"/>
        <w:numPr>
          <w:ilvl w:val="0"/>
          <w:numId w:val="4"/>
        </w:numPr>
        <w:tabs>
          <w:tab w:val="left" w:pos="360"/>
        </w:tabs>
        <w:spacing w:before="120"/>
        <w:rPr>
          <w:rFonts w:asciiTheme="minorHAnsi" w:eastAsiaTheme="minorHAnsi" w:hAnsiTheme="minorHAnsi" w:cstheme="minorBidi"/>
          <w:color w:val="auto"/>
          <w:sz w:val="22"/>
          <w:szCs w:val="22"/>
          <w:bdr w:val="none" w:sz="0" w:space="0" w:color="auto"/>
          <w:lang w:eastAsia="en-US"/>
          <w14:ligatures w14:val="standardContextual"/>
        </w:rPr>
      </w:pPr>
      <w:r>
        <w:rPr>
          <w:rFonts w:asciiTheme="minorHAnsi" w:eastAsiaTheme="minorHAnsi" w:hAnsiTheme="minorHAnsi" w:cstheme="minorBidi"/>
          <w:color w:val="auto"/>
          <w:sz w:val="22"/>
          <w:szCs w:val="22"/>
          <w:bdr w:val="none" w:sz="0" w:space="0" w:color="auto"/>
          <w:lang w:eastAsia="en-US"/>
          <w14:ligatures w14:val="standardContextual"/>
        </w:rPr>
        <w:t>Compétences en rédaction.</w:t>
      </w:r>
    </w:p>
    <w:p w14:paraId="4902622B" w14:textId="371AEEF9" w:rsidR="00136B9B" w:rsidRDefault="00136B9B" w:rsidP="001D7A7A">
      <w:pPr>
        <w:pStyle w:val="Corps"/>
        <w:numPr>
          <w:ilvl w:val="0"/>
          <w:numId w:val="4"/>
        </w:numPr>
        <w:tabs>
          <w:tab w:val="left" w:pos="360"/>
        </w:tabs>
        <w:spacing w:before="120"/>
        <w:rPr>
          <w:rFonts w:asciiTheme="minorHAnsi" w:eastAsiaTheme="minorHAnsi" w:hAnsiTheme="minorHAnsi" w:cstheme="minorBidi"/>
          <w:color w:val="auto"/>
          <w:sz w:val="22"/>
          <w:szCs w:val="22"/>
          <w:bdr w:val="none" w:sz="0" w:space="0" w:color="auto"/>
          <w:lang w:eastAsia="en-US"/>
          <w14:ligatures w14:val="standardContextual"/>
        </w:rPr>
      </w:pPr>
      <w:r>
        <w:rPr>
          <w:rFonts w:asciiTheme="minorHAnsi" w:eastAsiaTheme="minorHAnsi" w:hAnsiTheme="minorHAnsi" w:cstheme="minorBidi"/>
          <w:color w:val="auto"/>
          <w:sz w:val="22"/>
          <w:szCs w:val="22"/>
          <w:bdr w:val="none" w:sz="0" w:space="0" w:color="auto"/>
          <w:lang w:eastAsia="en-US"/>
          <w14:ligatures w14:val="standardContextual"/>
        </w:rPr>
        <w:t>Développement de l’esprit critique et de l’esprit analytique.</w:t>
      </w:r>
    </w:p>
    <w:p w14:paraId="25B61D4D" w14:textId="1545416B" w:rsidR="00136B9B" w:rsidRDefault="00136B9B" w:rsidP="001D7A7A">
      <w:pPr>
        <w:pStyle w:val="Corps"/>
        <w:numPr>
          <w:ilvl w:val="0"/>
          <w:numId w:val="4"/>
        </w:numPr>
        <w:tabs>
          <w:tab w:val="left" w:pos="360"/>
        </w:tabs>
        <w:spacing w:before="120"/>
        <w:rPr>
          <w:rFonts w:asciiTheme="minorHAnsi" w:eastAsiaTheme="minorHAnsi" w:hAnsiTheme="minorHAnsi" w:cstheme="minorBidi"/>
          <w:color w:val="auto"/>
          <w:sz w:val="22"/>
          <w:szCs w:val="22"/>
          <w:bdr w:val="none" w:sz="0" w:space="0" w:color="auto"/>
          <w:lang w:eastAsia="en-US"/>
          <w14:ligatures w14:val="standardContextual"/>
        </w:rPr>
      </w:pPr>
      <w:r>
        <w:rPr>
          <w:rFonts w:asciiTheme="minorHAnsi" w:eastAsiaTheme="minorHAnsi" w:hAnsiTheme="minorHAnsi" w:cstheme="minorBidi"/>
          <w:color w:val="auto"/>
          <w:sz w:val="22"/>
          <w:szCs w:val="22"/>
          <w:bdr w:val="none" w:sz="0" w:space="0" w:color="auto"/>
          <w:lang w:eastAsia="en-US"/>
          <w14:ligatures w14:val="standardContextual"/>
        </w:rPr>
        <w:t>Acquisitions de méthodes d’étude et de travail dans un contexte universitaire.</w:t>
      </w:r>
    </w:p>
    <w:p w14:paraId="2CC65828" w14:textId="5953E808" w:rsidR="00136B9B" w:rsidRDefault="00136B9B" w:rsidP="001D7A7A">
      <w:pPr>
        <w:pStyle w:val="Corps"/>
        <w:numPr>
          <w:ilvl w:val="0"/>
          <w:numId w:val="4"/>
        </w:numPr>
        <w:tabs>
          <w:tab w:val="left" w:pos="360"/>
        </w:tabs>
        <w:spacing w:before="120"/>
        <w:rPr>
          <w:rFonts w:asciiTheme="minorHAnsi" w:eastAsiaTheme="minorHAnsi" w:hAnsiTheme="minorHAnsi" w:cstheme="minorBidi"/>
          <w:color w:val="auto"/>
          <w:sz w:val="22"/>
          <w:szCs w:val="22"/>
          <w:bdr w:val="none" w:sz="0" w:space="0" w:color="auto"/>
          <w:lang w:eastAsia="en-US"/>
          <w14:ligatures w14:val="standardContextual"/>
        </w:rPr>
      </w:pPr>
      <w:r>
        <w:rPr>
          <w:rFonts w:asciiTheme="minorHAnsi" w:eastAsiaTheme="minorHAnsi" w:hAnsiTheme="minorHAnsi" w:cstheme="minorBidi"/>
          <w:color w:val="auto"/>
          <w:sz w:val="22"/>
          <w:szCs w:val="22"/>
          <w:bdr w:val="none" w:sz="0" w:space="0" w:color="auto"/>
          <w:lang w:eastAsia="en-US"/>
          <w14:ligatures w14:val="standardContextual"/>
        </w:rPr>
        <w:t>Capacités à comparer de grande quantité d’information.</w:t>
      </w:r>
    </w:p>
    <w:p w14:paraId="34207EF2" w14:textId="29D5DDE8" w:rsidR="00136B9B" w:rsidRPr="001D7A7A" w:rsidRDefault="00136B9B" w:rsidP="001D7A7A">
      <w:pPr>
        <w:pStyle w:val="Corps"/>
        <w:numPr>
          <w:ilvl w:val="0"/>
          <w:numId w:val="4"/>
        </w:numPr>
        <w:tabs>
          <w:tab w:val="left" w:pos="360"/>
        </w:tabs>
        <w:spacing w:before="120"/>
        <w:rPr>
          <w:rFonts w:asciiTheme="minorHAnsi" w:eastAsiaTheme="minorHAnsi" w:hAnsiTheme="minorHAnsi" w:cstheme="minorBidi"/>
          <w:color w:val="auto"/>
          <w:sz w:val="22"/>
          <w:szCs w:val="22"/>
          <w:bdr w:val="none" w:sz="0" w:space="0" w:color="auto"/>
          <w:lang w:eastAsia="en-US"/>
          <w14:ligatures w14:val="standardContextual"/>
        </w:rPr>
      </w:pPr>
      <w:r>
        <w:rPr>
          <w:rFonts w:asciiTheme="minorHAnsi" w:eastAsiaTheme="minorHAnsi" w:hAnsiTheme="minorHAnsi" w:cstheme="minorBidi"/>
          <w:color w:val="auto"/>
          <w:sz w:val="22"/>
          <w:szCs w:val="22"/>
          <w:bdr w:val="none" w:sz="0" w:space="0" w:color="auto"/>
          <w:lang w:eastAsia="en-US"/>
          <w14:ligatures w14:val="standardContextual"/>
        </w:rPr>
        <w:t>Savoir différencier le vrai du faux.</w:t>
      </w:r>
    </w:p>
    <w:p w14:paraId="3B8283D8" w14:textId="77777777" w:rsidR="001D7A7A" w:rsidRDefault="001D7A7A"/>
    <w:p w14:paraId="2A25F763" w14:textId="77777777" w:rsidR="008B37F4" w:rsidRDefault="008B37F4"/>
    <w:p w14:paraId="2D07E062" w14:textId="77777777" w:rsidR="00136B9B" w:rsidRDefault="00136B9B"/>
    <w:p w14:paraId="5448B9A3" w14:textId="77777777" w:rsidR="00136B9B" w:rsidRDefault="00136B9B"/>
    <w:p w14:paraId="67DFD394" w14:textId="77777777" w:rsidR="00136B9B" w:rsidRDefault="00136B9B"/>
    <w:p w14:paraId="68D7CF06" w14:textId="77777777" w:rsidR="00136B9B" w:rsidRDefault="00136B9B"/>
    <w:p w14:paraId="13A22C85" w14:textId="77777777" w:rsidR="00136B9B" w:rsidRDefault="00136B9B"/>
    <w:p w14:paraId="496867A3" w14:textId="77777777" w:rsidR="00136B9B" w:rsidRDefault="00136B9B"/>
    <w:p w14:paraId="129478D4" w14:textId="77777777" w:rsidR="00136B9B" w:rsidRDefault="00136B9B"/>
    <w:p w14:paraId="24A9204F" w14:textId="46CD542B" w:rsidR="00FE5E59" w:rsidRPr="008B37F4" w:rsidRDefault="00FE5E59">
      <w:pPr>
        <w:rPr>
          <w:b/>
          <w:bCs/>
        </w:rPr>
      </w:pPr>
      <w:r w:rsidRPr="00FE5E59">
        <w:rPr>
          <w:b/>
          <w:bCs/>
        </w:rPr>
        <w:lastRenderedPageBreak/>
        <w:t>Représentation visuelle :</w:t>
      </w:r>
    </w:p>
    <w:tbl>
      <w:tblPr>
        <w:tblStyle w:val="Grilledutableau"/>
        <w:tblW w:w="0" w:type="auto"/>
        <w:tblLook w:val="04A0" w:firstRow="1" w:lastRow="0" w:firstColumn="1" w:lastColumn="0" w:noHBand="0" w:noVBand="1"/>
      </w:tblPr>
      <w:tblGrid>
        <w:gridCol w:w="4248"/>
        <w:gridCol w:w="5102"/>
      </w:tblGrid>
      <w:tr w:rsidR="00FE5E59" w14:paraId="6D6F8ED0" w14:textId="77777777" w:rsidTr="00FE5E59">
        <w:tc>
          <w:tcPr>
            <w:tcW w:w="4248" w:type="dxa"/>
          </w:tcPr>
          <w:p w14:paraId="7EF9EEBF" w14:textId="6EAA56EF" w:rsidR="00FE5E59" w:rsidRDefault="00FE5E59">
            <w:r>
              <w:rPr>
                <w:noProof/>
              </w:rPr>
              <w:drawing>
                <wp:inline distT="0" distB="0" distL="0" distR="0" wp14:anchorId="0893B63C" wp14:editId="7E8FB2D8">
                  <wp:extent cx="2538319" cy="2234317"/>
                  <wp:effectExtent l="0" t="0" r="0" b="0"/>
                  <wp:docPr id="3" name="Image 3" descr="Allégorie de la caverne de Pla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légorie de la caverne de Plat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43950" cy="2239274"/>
                          </a:xfrm>
                          <a:prstGeom prst="rect">
                            <a:avLst/>
                          </a:prstGeom>
                          <a:noFill/>
                          <a:ln>
                            <a:noFill/>
                          </a:ln>
                        </pic:spPr>
                      </pic:pic>
                    </a:graphicData>
                  </a:graphic>
                </wp:inline>
              </w:drawing>
            </w:r>
          </w:p>
        </w:tc>
        <w:tc>
          <w:tcPr>
            <w:tcW w:w="5102" w:type="dxa"/>
          </w:tcPr>
          <w:p w14:paraId="66097BA1" w14:textId="77777777" w:rsidR="00FE5E59" w:rsidRDefault="00006D0C">
            <w:r>
              <w:t xml:space="preserve">J’ai choisi une visualisation de l’allégorie de la caverne pour expliquer les objectifs de ce cours. L’histoire est souvent perçue comme une discipline facile; on sait ce qui s’est passé et les faits historiques ne changent pas. Pourtant, l’histoire est une vraie science vivante </w:t>
            </w:r>
            <w:r w:rsidR="008B37F4">
              <w:t xml:space="preserve">et comme pour toute science, les interprétations et les théories changent selon l’avancée de la recherche. </w:t>
            </w:r>
          </w:p>
          <w:p w14:paraId="58EFF5A6" w14:textId="77777777" w:rsidR="008B37F4" w:rsidRDefault="008B37F4"/>
          <w:p w14:paraId="554905C7" w14:textId="0C8774BB" w:rsidR="008B37F4" w:rsidRDefault="008B37F4">
            <w:r>
              <w:t>Dans ce cours, nous devons donc déconstruire plusieurs mythes pour reposer les fondations de la recherche historique actuelle. À la fin du cours, les étudiants.es ne regarderon</w:t>
            </w:r>
            <w:r w:rsidR="00A34230">
              <w:t>t</w:t>
            </w:r>
            <w:r>
              <w:t xml:space="preserve"> plus que les images sur le mur, mais seront désormais en mesure de comprendre comment ces images sont produites ainsi que leur origine. </w:t>
            </w:r>
          </w:p>
        </w:tc>
      </w:tr>
    </w:tbl>
    <w:p w14:paraId="21841CBD" w14:textId="77777777" w:rsidR="00FE5E59" w:rsidRPr="001D7A7A" w:rsidRDefault="00FE5E59"/>
    <w:sectPr w:rsidR="00FE5E59" w:rsidRPr="001D7A7A" w:rsidSect="003B0C0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5FB85" w14:textId="77777777" w:rsidR="0040395D" w:rsidRDefault="0040395D" w:rsidP="004E277F">
      <w:pPr>
        <w:spacing w:after="0" w:line="240" w:lineRule="auto"/>
      </w:pPr>
      <w:r>
        <w:separator/>
      </w:r>
    </w:p>
  </w:endnote>
  <w:endnote w:type="continuationSeparator" w:id="0">
    <w:p w14:paraId="1914C33E" w14:textId="77777777" w:rsidR="0040395D" w:rsidRDefault="0040395D" w:rsidP="004E2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CD7A9" w14:textId="77777777" w:rsidR="0040395D" w:rsidRDefault="0040395D" w:rsidP="004E277F">
      <w:pPr>
        <w:spacing w:after="0" w:line="240" w:lineRule="auto"/>
      </w:pPr>
      <w:r>
        <w:separator/>
      </w:r>
    </w:p>
  </w:footnote>
  <w:footnote w:type="continuationSeparator" w:id="0">
    <w:p w14:paraId="527FCE4A" w14:textId="77777777" w:rsidR="0040395D" w:rsidRDefault="0040395D" w:rsidP="004E27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4692"/>
    <w:multiLevelType w:val="multilevel"/>
    <w:tmpl w:val="3BF80B22"/>
    <w:lvl w:ilvl="0">
      <w:numFmt w:val="bullet"/>
      <w:lvlText w:val="•"/>
      <w:lvlJc w:val="left"/>
      <w:rPr>
        <w:position w:val="0"/>
        <w:lang w:val="fr-FR"/>
      </w:rPr>
    </w:lvl>
    <w:lvl w:ilvl="1">
      <w:start w:val="1"/>
      <w:numFmt w:val="bullet"/>
      <w:lvlText w:val="•"/>
      <w:lvlJc w:val="left"/>
      <w:rPr>
        <w:position w:val="0"/>
        <w:lang w:val="fr-FR"/>
      </w:rPr>
    </w:lvl>
    <w:lvl w:ilvl="2">
      <w:start w:val="1"/>
      <w:numFmt w:val="bullet"/>
      <w:lvlText w:val="•"/>
      <w:lvlJc w:val="left"/>
      <w:rPr>
        <w:position w:val="0"/>
        <w:lang w:val="fr-FR"/>
      </w:rPr>
    </w:lvl>
    <w:lvl w:ilvl="3">
      <w:start w:val="1"/>
      <w:numFmt w:val="bullet"/>
      <w:lvlText w:val="•"/>
      <w:lvlJc w:val="left"/>
      <w:rPr>
        <w:position w:val="0"/>
        <w:lang w:val="fr-FR"/>
      </w:rPr>
    </w:lvl>
    <w:lvl w:ilvl="4">
      <w:start w:val="1"/>
      <w:numFmt w:val="bullet"/>
      <w:lvlText w:val="•"/>
      <w:lvlJc w:val="left"/>
      <w:rPr>
        <w:position w:val="0"/>
        <w:lang w:val="fr-FR"/>
      </w:rPr>
    </w:lvl>
    <w:lvl w:ilvl="5">
      <w:start w:val="1"/>
      <w:numFmt w:val="bullet"/>
      <w:lvlText w:val="•"/>
      <w:lvlJc w:val="left"/>
      <w:rPr>
        <w:position w:val="0"/>
        <w:lang w:val="fr-FR"/>
      </w:rPr>
    </w:lvl>
    <w:lvl w:ilvl="6">
      <w:start w:val="1"/>
      <w:numFmt w:val="bullet"/>
      <w:lvlText w:val="•"/>
      <w:lvlJc w:val="left"/>
      <w:rPr>
        <w:position w:val="0"/>
        <w:lang w:val="fr-FR"/>
      </w:rPr>
    </w:lvl>
    <w:lvl w:ilvl="7">
      <w:start w:val="1"/>
      <w:numFmt w:val="bullet"/>
      <w:lvlText w:val="•"/>
      <w:lvlJc w:val="left"/>
      <w:rPr>
        <w:position w:val="0"/>
        <w:lang w:val="fr-FR"/>
      </w:rPr>
    </w:lvl>
    <w:lvl w:ilvl="8">
      <w:start w:val="1"/>
      <w:numFmt w:val="bullet"/>
      <w:lvlText w:val="•"/>
      <w:lvlJc w:val="left"/>
      <w:rPr>
        <w:position w:val="0"/>
        <w:lang w:val="fr-FR"/>
      </w:rPr>
    </w:lvl>
  </w:abstractNum>
  <w:abstractNum w:abstractNumId="1" w15:restartNumberingAfterBreak="0">
    <w:nsid w:val="2B34157B"/>
    <w:multiLevelType w:val="hybridMultilevel"/>
    <w:tmpl w:val="7C4E52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D1F3A74"/>
    <w:multiLevelType w:val="multilevel"/>
    <w:tmpl w:val="77F0D212"/>
    <w:lvl w:ilvl="0">
      <w:numFmt w:val="bullet"/>
      <w:lvlText w:val="•"/>
      <w:lvlJc w:val="left"/>
      <w:rPr>
        <w:position w:val="0"/>
        <w:lang w:val="fr-FR"/>
      </w:rPr>
    </w:lvl>
    <w:lvl w:ilvl="1">
      <w:start w:val="1"/>
      <w:numFmt w:val="bullet"/>
      <w:lvlText w:val="•"/>
      <w:lvlJc w:val="left"/>
      <w:rPr>
        <w:position w:val="0"/>
        <w:lang w:val="fr-FR"/>
      </w:rPr>
    </w:lvl>
    <w:lvl w:ilvl="2">
      <w:start w:val="1"/>
      <w:numFmt w:val="bullet"/>
      <w:lvlText w:val="•"/>
      <w:lvlJc w:val="left"/>
      <w:rPr>
        <w:position w:val="0"/>
        <w:lang w:val="fr-FR"/>
      </w:rPr>
    </w:lvl>
    <w:lvl w:ilvl="3">
      <w:start w:val="1"/>
      <w:numFmt w:val="bullet"/>
      <w:lvlText w:val="•"/>
      <w:lvlJc w:val="left"/>
      <w:rPr>
        <w:position w:val="0"/>
        <w:lang w:val="fr-FR"/>
      </w:rPr>
    </w:lvl>
    <w:lvl w:ilvl="4">
      <w:start w:val="1"/>
      <w:numFmt w:val="bullet"/>
      <w:lvlText w:val="•"/>
      <w:lvlJc w:val="left"/>
      <w:rPr>
        <w:position w:val="0"/>
        <w:lang w:val="fr-FR"/>
      </w:rPr>
    </w:lvl>
    <w:lvl w:ilvl="5">
      <w:start w:val="1"/>
      <w:numFmt w:val="bullet"/>
      <w:lvlText w:val="•"/>
      <w:lvlJc w:val="left"/>
      <w:rPr>
        <w:position w:val="0"/>
        <w:lang w:val="fr-FR"/>
      </w:rPr>
    </w:lvl>
    <w:lvl w:ilvl="6">
      <w:start w:val="1"/>
      <w:numFmt w:val="bullet"/>
      <w:lvlText w:val="•"/>
      <w:lvlJc w:val="left"/>
      <w:rPr>
        <w:position w:val="0"/>
        <w:lang w:val="fr-FR"/>
      </w:rPr>
    </w:lvl>
    <w:lvl w:ilvl="7">
      <w:start w:val="1"/>
      <w:numFmt w:val="bullet"/>
      <w:lvlText w:val="•"/>
      <w:lvlJc w:val="left"/>
      <w:rPr>
        <w:position w:val="0"/>
        <w:lang w:val="fr-FR"/>
      </w:rPr>
    </w:lvl>
    <w:lvl w:ilvl="8">
      <w:start w:val="1"/>
      <w:numFmt w:val="bullet"/>
      <w:lvlText w:val="•"/>
      <w:lvlJc w:val="left"/>
      <w:rPr>
        <w:position w:val="0"/>
        <w:lang w:val="fr-FR"/>
      </w:rPr>
    </w:lvl>
  </w:abstractNum>
  <w:abstractNum w:abstractNumId="3" w15:restartNumberingAfterBreak="0">
    <w:nsid w:val="58BA2E23"/>
    <w:multiLevelType w:val="hybridMultilevel"/>
    <w:tmpl w:val="68644D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893396879">
    <w:abstractNumId w:val="0"/>
  </w:num>
  <w:num w:numId="2" w16cid:durableId="1167787574">
    <w:abstractNumId w:val="2"/>
  </w:num>
  <w:num w:numId="3" w16cid:durableId="2139949995">
    <w:abstractNumId w:val="3"/>
  </w:num>
  <w:num w:numId="4" w16cid:durableId="989213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1C7"/>
    <w:rsid w:val="00006D0C"/>
    <w:rsid w:val="00136B9B"/>
    <w:rsid w:val="001D7A7A"/>
    <w:rsid w:val="003074E7"/>
    <w:rsid w:val="003A380D"/>
    <w:rsid w:val="003B0C01"/>
    <w:rsid w:val="0040395D"/>
    <w:rsid w:val="004E277F"/>
    <w:rsid w:val="00687CC6"/>
    <w:rsid w:val="006C655F"/>
    <w:rsid w:val="00766E3C"/>
    <w:rsid w:val="00874256"/>
    <w:rsid w:val="008B37F4"/>
    <w:rsid w:val="008E5418"/>
    <w:rsid w:val="00911A05"/>
    <w:rsid w:val="00957953"/>
    <w:rsid w:val="00A34230"/>
    <w:rsid w:val="00B044AF"/>
    <w:rsid w:val="00C328D0"/>
    <w:rsid w:val="00CC41C7"/>
    <w:rsid w:val="00D64591"/>
    <w:rsid w:val="00FE5E59"/>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675A4"/>
  <w15:chartTrackingRefBased/>
  <w15:docId w15:val="{FA2DC27D-2FE0-41D0-8230-1C9C09947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E277F"/>
    <w:pPr>
      <w:tabs>
        <w:tab w:val="center" w:pos="4680"/>
        <w:tab w:val="right" w:pos="9360"/>
      </w:tabs>
      <w:spacing w:after="0" w:line="240" w:lineRule="auto"/>
    </w:pPr>
  </w:style>
  <w:style w:type="character" w:customStyle="1" w:styleId="En-tteCar">
    <w:name w:val="En-tête Car"/>
    <w:basedOn w:val="Policepardfaut"/>
    <w:link w:val="En-tte"/>
    <w:uiPriority w:val="99"/>
    <w:rsid w:val="004E277F"/>
  </w:style>
  <w:style w:type="paragraph" w:styleId="Pieddepage">
    <w:name w:val="footer"/>
    <w:basedOn w:val="Normal"/>
    <w:link w:val="PieddepageCar"/>
    <w:uiPriority w:val="99"/>
    <w:unhideWhenUsed/>
    <w:rsid w:val="004E277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4E277F"/>
  </w:style>
  <w:style w:type="character" w:styleId="Hyperlien">
    <w:name w:val="Hyperlink"/>
    <w:basedOn w:val="Policepardfaut"/>
    <w:uiPriority w:val="99"/>
    <w:unhideWhenUsed/>
    <w:rsid w:val="00B044AF"/>
    <w:rPr>
      <w:color w:val="0563C1" w:themeColor="hyperlink"/>
      <w:u w:val="single"/>
    </w:rPr>
  </w:style>
  <w:style w:type="character" w:styleId="Mentionnonrsolue">
    <w:name w:val="Unresolved Mention"/>
    <w:basedOn w:val="Policepardfaut"/>
    <w:uiPriority w:val="99"/>
    <w:semiHidden/>
    <w:unhideWhenUsed/>
    <w:rsid w:val="00B044AF"/>
    <w:rPr>
      <w:color w:val="605E5C"/>
      <w:shd w:val="clear" w:color="auto" w:fill="E1DFDD"/>
    </w:rPr>
  </w:style>
  <w:style w:type="table" w:styleId="Grilledutableau">
    <w:name w:val="Table Grid"/>
    <w:basedOn w:val="TableauNormal"/>
    <w:uiPriority w:val="39"/>
    <w:rsid w:val="00307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
    <w:name w:val="Corps"/>
    <w:rsid w:val="001D7A7A"/>
    <w:pPr>
      <w:pBdr>
        <w:top w:val="nil"/>
        <w:left w:val="nil"/>
        <w:bottom w:val="nil"/>
        <w:right w:val="nil"/>
        <w:between w:val="nil"/>
        <w:bar w:val="nil"/>
      </w:pBdr>
      <w:spacing w:after="0" w:line="240" w:lineRule="auto"/>
    </w:pPr>
    <w:rPr>
      <w:rFonts w:ascii="Times New Roman" w:eastAsia="Times New Roman" w:hAnsi="Times New Roman" w:cs="Times New Roman"/>
      <w:color w:val="000000"/>
      <w:sz w:val="28"/>
      <w:szCs w:val="28"/>
      <w:u w:color="000000"/>
      <w:bdr w:val="nil"/>
      <w:lang w:eastAsia="fr-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334</Words>
  <Characters>1843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Laflamme</dc:creator>
  <cp:keywords/>
  <dc:description/>
  <cp:lastModifiedBy>Mathieu Laflamme</cp:lastModifiedBy>
  <cp:revision>8</cp:revision>
  <dcterms:created xsi:type="dcterms:W3CDTF">2023-08-01T23:31:00Z</dcterms:created>
  <dcterms:modified xsi:type="dcterms:W3CDTF">2023-08-01T23:50:00Z</dcterms:modified>
</cp:coreProperties>
</file>