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Misunderstood - Nursing Scope of Practice</w:t>
      </w:r>
    </w:p>
    <w:p>
      <w:pPr>
        <w:rPr>
          <w:rFonts w:hint="default" w:ascii="Times New Roman" w:hAnsi="Times New Roman" w:cs="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 xml:space="preserve">Nursing scope of practice can be likened to the protective fence surrounding a meticulously tended garden. Much like this fence clearly marks the limits of the garden's boundaries, legislation and regulations meticulously delineate what nurses are authorized to undertake within their professional realm. </w:t>
      </w:r>
      <w:bookmarkStart w:id="0" w:name="_GoBack"/>
      <w:bookmarkEnd w:id="0"/>
    </w:p>
    <w:p>
      <w:pPr>
        <w:rPr>
          <w:rFonts w:hint="default" w:ascii="Times New Roman" w:hAnsi="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Just as a skilled gardener must take into account the specific types of plants that will thrive within the garden's unique environment, nurses must similarly consider their own competence and the context in which they operate. Competence is a cornerstone, requiring nurses to possess not only knowledge but also the practical skills and judgment necessary to ensure the safety and well-being of their patients. This echoes the gardener's need to understand the unique requirements of the plants they tend.</w:t>
      </w:r>
    </w:p>
    <w:p>
      <w:pPr>
        <w:rPr>
          <w:rFonts w:hint="default" w:ascii="Times New Roman" w:hAnsi="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Stepping beyond the confines of the garden's fence could disrupt the harmony and health of the plants, much as straying outside the legislated scope of nursing practice can result in professional misconduct. Thus, it is imperative that nurses remain vigilant about these boundaries, ensuring they possess both the authority and the competence to provide safe and effective client care, all while working within the appropriate context, much like a gardener who tends to plants within the garden's carefully defined limits.</w:t>
      </w:r>
    </w:p>
    <w:p>
      <w:pPr>
        <w:rPr>
          <w:rFonts w:hint="default" w:ascii="Times New Roman" w:hAnsi="Times New Roman"/>
          <w:sz w:val="24"/>
          <w:szCs w:val="24"/>
        </w:rPr>
      </w:pPr>
    </w:p>
    <w:p>
      <w:pPr>
        <w:ind w:firstLine="720" w:firstLineChars="0"/>
        <w:rPr>
          <w:rFonts w:hint="default" w:ascii="Times New Roman" w:hAnsi="Times New Roman"/>
          <w:sz w:val="24"/>
          <w:szCs w:val="24"/>
        </w:rPr>
      </w:pPr>
      <w:r>
        <w:rPr>
          <w:rFonts w:hint="default" w:ascii="Times New Roman" w:hAnsi="Times New Roman"/>
          <w:sz w:val="24"/>
          <w:szCs w:val="24"/>
        </w:rPr>
        <w:t>In the media, students might encounter portrayals that inaccurately suggest nurses can undertake tasks or assume responsibilities that fall outside their legislated authority. To address these misconceptions using the gardener analogy, we can explore these concepts of authority, context, and competence to critically assess media depictions:</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 xml:space="preserve">Authority: </w:t>
      </w:r>
      <w:r>
        <w:rPr>
          <w:rFonts w:hint="default" w:ascii="Times New Roman" w:hAnsi="Times New Roman"/>
          <w:sz w:val="24"/>
          <w:szCs w:val="24"/>
        </w:rPr>
        <w:t>Let's delve into a comprehensive understanding of the tasks and responsibilities that squarely fall within a nurse's scope of practice, as prescribed by the law. This is akin to knowing which plants are well-suited for the unique environment of your garden.</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 xml:space="preserve">Context: </w:t>
      </w:r>
      <w:r>
        <w:rPr>
          <w:rFonts w:hint="default" w:ascii="Times New Roman" w:hAnsi="Times New Roman"/>
          <w:sz w:val="24"/>
          <w:szCs w:val="24"/>
        </w:rPr>
        <w:t>Similar to how one wouldn't plant water-loving flora in a parched garden, nurses require an appropriate environment and access to essential resources to deliver safe and effective care. It's important to recognize that media portrayals might not always accurately depict the true conditions within which nurses work.</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b/>
          <w:bCs/>
          <w:sz w:val="24"/>
          <w:szCs w:val="24"/>
        </w:rPr>
        <w:t>Competence:</w:t>
      </w:r>
      <w:r>
        <w:rPr>
          <w:rFonts w:hint="default" w:ascii="Times New Roman" w:hAnsi="Times New Roman"/>
          <w:sz w:val="24"/>
          <w:szCs w:val="24"/>
        </w:rPr>
        <w:t xml:space="preserve"> Just as a skilled gardener needs the knowledge and expertise to tend to specific plants, nurses must be adequately trained and possess the necessary skills to perform their duties safely and effectively.</w:t>
      </w:r>
    </w:p>
    <w:p>
      <w:pPr>
        <w:rPr>
          <w:rFonts w:hint="default" w:ascii="Times New Roman" w:hAnsi="Times New Roman"/>
          <w:sz w:val="24"/>
          <w:szCs w:val="24"/>
        </w:rPr>
      </w:pPr>
    </w:p>
    <w:p>
      <w:pPr>
        <w:ind w:firstLine="720" w:firstLineChars="0"/>
        <w:rPr>
          <w:rFonts w:hint="default" w:ascii="Times New Roman" w:hAnsi="Times New Roman" w:cs="Times New Roman"/>
          <w:sz w:val="24"/>
          <w:szCs w:val="24"/>
          <w:lang w:val="en-US"/>
        </w:rPr>
      </w:pPr>
      <w:r>
        <w:rPr>
          <w:rFonts w:hint="default" w:ascii="Times New Roman" w:hAnsi="Times New Roman"/>
          <w:sz w:val="24"/>
          <w:szCs w:val="24"/>
        </w:rPr>
        <w:t>By examining these facets through the lens of the garden analogy, we can better discern and address common misconceptions regarding nursing scope of practice as presented in the media, promoting a more informed and accurate understanding of the vital role nurses play in healthcare.</w:t>
      </w: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16D77"/>
    <w:rsid w:val="79B1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2023-09-27T19:33:00Z</dcterms:created>
  <dc:creator>Shawn Luo</dc:creator>
  <cp:lastModifiedBy>Shawn Luo</cp:lastModifiedBy>
  <dcterms:modified xsi:type="dcterms:W3CDTF">2023-09-27T20:03:58Z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72E0F57D7FF94BE0BACECC2F81BD530C_11</vt:lpwstr>
  </property>
</Properties>
</file>