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bCs/>
          <w:sz w:val="24"/>
          <w:szCs w:val="24"/>
          <w:lang w:val="en-US"/>
        </w:rPr>
      </w:pPr>
      <w:r>
        <w:rPr>
          <w:rFonts w:hint="default" w:ascii="Times New Roman" w:hAnsi="Times New Roman"/>
          <w:b/>
          <w:bCs/>
          <w:sz w:val="24"/>
          <w:szCs w:val="24"/>
        </w:rPr>
        <w:t>WIIFM</w:t>
      </w:r>
      <w:r>
        <w:rPr>
          <w:rFonts w:hint="default" w:ascii="Times New Roman" w:hAnsi="Times New Roman"/>
          <w:b/>
          <w:bCs/>
          <w:sz w:val="24"/>
          <w:szCs w:val="24"/>
          <w:lang w:val="en-US"/>
        </w:rPr>
        <w:t xml:space="preserve"> - Quantitative Method</w:t>
      </w:r>
    </w:p>
    <w:p>
      <w:pPr>
        <w:jc w:val="center"/>
        <w:rPr>
          <w:rFonts w:hint="default" w:ascii="Times New Roman" w:hAnsi="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In one of my nursing research classes, I encourage undergraduate students to embrace quantitative methods as a crucial tool for understanding research studies. While some students may initially find this approach intimidating and question its relevance to their bedside practice, I emphasize the following reasons to help them recognize its value and significance as they prepare to enter the nursing profession:</w:t>
      </w:r>
    </w:p>
    <w:p>
      <w:pPr>
        <w:rPr>
          <w:rFonts w:hint="default" w:ascii="Times New Roman" w:hAnsi="Times New Roman"/>
          <w:sz w:val="24"/>
          <w:szCs w:val="24"/>
        </w:rPr>
      </w:pPr>
      <w:bookmarkStart w:id="0" w:name="_GoBack"/>
      <w:bookmarkEnd w:id="0"/>
    </w:p>
    <w:p>
      <w:pPr>
        <w:rPr>
          <w:rFonts w:hint="default" w:ascii="Times New Roman" w:hAnsi="Times New Roman"/>
          <w:sz w:val="24"/>
          <w:szCs w:val="24"/>
        </w:rPr>
      </w:pPr>
      <w:r>
        <w:rPr>
          <w:rFonts w:hint="default" w:ascii="Times New Roman" w:hAnsi="Times New Roman"/>
          <w:b/>
          <w:bCs/>
          <w:sz w:val="24"/>
          <w:szCs w:val="24"/>
        </w:rPr>
        <w:t>Evidence-Based Care:</w:t>
      </w:r>
      <w:r>
        <w:rPr>
          <w:rFonts w:hint="default" w:ascii="Times New Roman" w:hAnsi="Times New Roman"/>
          <w:sz w:val="24"/>
          <w:szCs w:val="24"/>
        </w:rPr>
        <w:t xml:space="preserve"> Quantitative research serves as the cornerstone of evidence-based care. By grasping quantitative methods, entry-level nurses can seamlessly integrate the latest research findings into their clinical practice. This integration leads to improved patient outcomes and elevates the overall standard of care.</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Effective Communication Skills:</w:t>
      </w:r>
      <w:r>
        <w:rPr>
          <w:rFonts w:hint="default" w:ascii="Times New Roman" w:hAnsi="Times New Roman"/>
          <w:sz w:val="24"/>
          <w:szCs w:val="24"/>
        </w:rPr>
        <w:t xml:space="preserve"> A solid understanding of quantitative research empowers nurses to communicate effectively within interdisciplinary teams. They can readily collaborate with physicians, researchers, and other healthcare professionals, promoting a holistic approach to patient care.</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Patient Advocacy:</w:t>
      </w:r>
      <w:r>
        <w:rPr>
          <w:rFonts w:hint="default" w:ascii="Times New Roman" w:hAnsi="Times New Roman"/>
          <w:sz w:val="24"/>
          <w:szCs w:val="24"/>
        </w:rPr>
        <w:t xml:space="preserve"> Entry-level nurses can leverage quantitative methods as a means of advocating for their patients. By referencing credible research, they can provide robust support for their recommendations, ensuring their patients receive the best possible care and treatment.</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Research Engagement:</w:t>
      </w:r>
      <w:r>
        <w:rPr>
          <w:rFonts w:hint="default" w:ascii="Times New Roman" w:hAnsi="Times New Roman"/>
          <w:sz w:val="24"/>
          <w:szCs w:val="24"/>
        </w:rPr>
        <w:t xml:space="preserve"> Proficiency in quantitative methods can serve as a source of inspiration, motivating entry-level nurses to actively participate in nursing research endeavors. Such involvement can open doors to career advancement opportunities while contributing to the ever-expanding body of nursing knowledge.</w:t>
      </w:r>
    </w:p>
    <w:p>
      <w:pPr>
        <w:rPr>
          <w:rFonts w:hint="default" w:ascii="Times New Roman" w:hAnsi="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By underscoring these advantages, nursing students can develop a deeper appreciation for the role of quantitative methods in their education and practice. These skills not only empower them as lifelong learners but also enable them to make meaningful contributions to the nursing profession as they embark on their journey as entry-level nurses.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52DE2"/>
    <w:rsid w:val="0D55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2023-09-30T10:14:00Z</dcterms:created>
  <dc:creator>Shawn</dc:creator>
  <cp:lastModifiedBy>Shawn</cp:lastModifiedBy>
  <dcterms:modified xsi:type="dcterms:W3CDTF">2023-09-30T10:41:47Z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482E98CBB6A24BED86DF1948DB8D1BAF_11</vt:lpwstr>
  </property>
</Properties>
</file>