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6531"/>
      </w:tblGrid>
      <w:tr w:rsidR="00177400" w14:paraId="5299F964" w14:textId="77777777" w:rsidTr="00177400">
        <w:trPr>
          <w:trHeight w:val="567"/>
        </w:trPr>
        <w:tc>
          <w:tcPr>
            <w:tcW w:w="279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7BCFE7B8" w14:textId="7433CFC4" w:rsidR="00177400" w:rsidRDefault="00177400" w:rsidP="00177400">
            <w:r>
              <w:t>La vitesse/célérité</w:t>
            </w:r>
            <w:r w:rsidR="00E36AEA">
              <w:t xml:space="preserve"> (nm/s))</w:t>
            </w:r>
          </w:p>
        </w:tc>
        <w:tc>
          <w:tcPr>
            <w:tcW w:w="653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D25EA4B" w14:textId="0AB3EAEF" w:rsidR="00177400" w:rsidRDefault="00177400" w:rsidP="00177400">
            <w:pPr>
              <w:pStyle w:val="ListParagraph"/>
              <w:numPr>
                <w:ilvl w:val="0"/>
                <w:numId w:val="1"/>
              </w:numPr>
            </w:pPr>
            <w:r>
              <w:t xml:space="preserve">Le comportement de la </w:t>
            </w:r>
            <w:r w:rsidRPr="002E06D2">
              <w:rPr>
                <w:b/>
                <w:bCs/>
                <w:color w:val="FF0000"/>
                <w:u w:val="single"/>
              </w:rPr>
              <w:t>lumière</w:t>
            </w:r>
            <w:r>
              <w:t xml:space="preserve"> dans le vide.</w:t>
            </w:r>
          </w:p>
        </w:tc>
      </w:tr>
      <w:tr w:rsidR="00177400" w14:paraId="0E689E27" w14:textId="77777777" w:rsidTr="00177400">
        <w:trPr>
          <w:trHeight w:val="567"/>
        </w:trPr>
        <w:tc>
          <w:tcPr>
            <w:tcW w:w="279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50835D15" w14:textId="7A18A50D" w:rsidR="00177400" w:rsidRDefault="00177400" w:rsidP="00177400">
            <w:r>
              <w:t xml:space="preserve">Les </w:t>
            </w:r>
            <w:r w:rsidRPr="002E06D2">
              <w:rPr>
                <w:b/>
                <w:bCs/>
                <w:color w:val="FF0000"/>
                <w:u w:val="single"/>
              </w:rPr>
              <w:t>photons</w:t>
            </w:r>
          </w:p>
        </w:tc>
        <w:tc>
          <w:tcPr>
            <w:tcW w:w="653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2F37E568" w14:textId="01B0DA00" w:rsidR="00177400" w:rsidRDefault="00177400" w:rsidP="00177400">
            <w:pPr>
              <w:pStyle w:val="ListParagraph"/>
              <w:numPr>
                <w:ilvl w:val="0"/>
                <w:numId w:val="1"/>
              </w:numPr>
            </w:pPr>
            <w:r>
              <w:t>Le comportement de la lumière dans l’air.</w:t>
            </w:r>
          </w:p>
        </w:tc>
      </w:tr>
      <w:tr w:rsidR="00177400" w14:paraId="29DD2F47" w14:textId="77777777" w:rsidTr="00177400">
        <w:trPr>
          <w:trHeight w:val="581"/>
        </w:trPr>
        <w:tc>
          <w:tcPr>
            <w:tcW w:w="279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7881F9CC" w14:textId="73F8287A" w:rsidR="00177400" w:rsidRDefault="00BB45DC" w:rsidP="00177400">
            <w:r w:rsidRPr="002E06D2">
              <w:rPr>
                <w:b/>
                <w:bCs/>
                <w:color w:val="538135" w:themeColor="accent6" w:themeShade="BF"/>
                <w:u w:val="single"/>
              </w:rPr>
              <w:sym w:font="Symbol" w:char="F06C"/>
            </w:r>
            <w:r>
              <w:t xml:space="preserve"> : </w:t>
            </w:r>
            <w:r w:rsidRPr="00CA4398">
              <w:rPr>
                <w:highlight w:val="cyan"/>
              </w:rPr>
              <w:t>longueur d’onde</w:t>
            </w:r>
            <w:r>
              <w:t xml:space="preserve"> (nm)</w:t>
            </w:r>
          </w:p>
        </w:tc>
        <w:tc>
          <w:tcPr>
            <w:tcW w:w="653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F514D77" w14:textId="4B8056E9" w:rsidR="00177400" w:rsidRDefault="00177400" w:rsidP="00177400">
            <w:pPr>
              <w:pStyle w:val="ListParagraph"/>
              <w:numPr>
                <w:ilvl w:val="0"/>
                <w:numId w:val="1"/>
              </w:numPr>
            </w:pPr>
            <w:r>
              <w:t xml:space="preserve">Les </w:t>
            </w:r>
            <w:r w:rsidRPr="002E06D2">
              <w:rPr>
                <w:b/>
                <w:bCs/>
                <w:color w:val="ED7D31" w:themeColor="accent2"/>
                <w:u w:val="single"/>
              </w:rPr>
              <w:t>propriétés doubles de la lumière</w:t>
            </w:r>
            <w:r>
              <w:t>.</w:t>
            </w:r>
            <w:r w:rsidR="006D68D7">
              <w:t xml:space="preserve"> Einstein trouve une relation entre l’énergie (lumière) et la matière : E = m x c</w:t>
            </w:r>
            <w:r w:rsidR="006D68D7" w:rsidRPr="006D68D7">
              <w:rPr>
                <w:vertAlign w:val="superscript"/>
              </w:rPr>
              <w:t>2</w:t>
            </w:r>
            <w:r w:rsidR="006D68D7">
              <w:t xml:space="preserve"> </w:t>
            </w:r>
          </w:p>
          <w:p w14:paraId="47093BBB" w14:textId="43EEA755" w:rsidR="006D68D7" w:rsidRDefault="006D68D7" w:rsidP="00177400">
            <w:pPr>
              <w:pStyle w:val="ListParagraph"/>
              <w:numPr>
                <w:ilvl w:val="0"/>
                <w:numId w:val="1"/>
              </w:numPr>
            </w:pPr>
            <w:r>
              <w:t xml:space="preserve">Donc, c’est possible </w:t>
            </w:r>
            <w:r w:rsidR="002E06D2">
              <w:t xml:space="preserve">la </w:t>
            </w:r>
            <w:r w:rsidRPr="002E06D2">
              <w:rPr>
                <w:b/>
                <w:bCs/>
                <w:color w:val="2F5496" w:themeColor="accent1" w:themeShade="BF"/>
                <w:u w:val="single"/>
              </w:rPr>
              <w:t>transform</w:t>
            </w:r>
            <w:r w:rsidR="002E06D2" w:rsidRPr="002E06D2">
              <w:rPr>
                <w:b/>
                <w:bCs/>
                <w:color w:val="2F5496" w:themeColor="accent1" w:themeShade="BF"/>
                <w:u w:val="single"/>
              </w:rPr>
              <w:t>ation</w:t>
            </w:r>
            <w:r w:rsidRPr="002E06D2">
              <w:rPr>
                <w:color w:val="2F5496" w:themeColor="accent1" w:themeShade="BF"/>
              </w:rPr>
              <w:t xml:space="preserve"> </w:t>
            </w:r>
            <w:r>
              <w:t xml:space="preserve">la </w:t>
            </w:r>
            <w:r w:rsidRPr="002E06D2">
              <w:rPr>
                <w:b/>
                <w:bCs/>
                <w:color w:val="2F5496" w:themeColor="accent1" w:themeShade="BF"/>
                <w:u w:val="single"/>
              </w:rPr>
              <w:t>lumière</w:t>
            </w:r>
            <w:r w:rsidRPr="002E06D2">
              <w:rPr>
                <w:color w:val="2F5496" w:themeColor="accent1" w:themeShade="BF"/>
              </w:rPr>
              <w:t xml:space="preserve"> </w:t>
            </w:r>
            <w:r>
              <w:t xml:space="preserve">en </w:t>
            </w:r>
            <w:r w:rsidRPr="002E06D2">
              <w:rPr>
                <w:b/>
                <w:bCs/>
                <w:color w:val="2F5496" w:themeColor="accent1" w:themeShade="BF"/>
                <w:u w:val="single"/>
              </w:rPr>
              <w:t>énergie</w:t>
            </w:r>
            <w:r w:rsidRPr="002E06D2">
              <w:rPr>
                <w:color w:val="2F5496" w:themeColor="accent1" w:themeShade="BF"/>
              </w:rPr>
              <w:t xml:space="preserve"> </w:t>
            </w:r>
            <w:r>
              <w:t>et vice versa.</w:t>
            </w:r>
          </w:p>
          <w:p w14:paraId="4CC482DD" w14:textId="05B72D4B" w:rsidR="00177400" w:rsidRDefault="00177400" w:rsidP="00177400">
            <w:pPr>
              <w:pStyle w:val="ListParagraph"/>
              <w:numPr>
                <w:ilvl w:val="0"/>
                <w:numId w:val="1"/>
              </w:numPr>
            </w:pPr>
            <w:r>
              <w:t>Est-ce la lumière est de la matière ou non ?</w:t>
            </w:r>
          </w:p>
        </w:tc>
      </w:tr>
      <w:tr w:rsidR="00C43459" w14:paraId="4D4BC7E1" w14:textId="77777777" w:rsidTr="00177400">
        <w:trPr>
          <w:trHeight w:val="567"/>
        </w:trPr>
        <w:tc>
          <w:tcPr>
            <w:tcW w:w="279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231E9F0B" w14:textId="66A8C0A4" w:rsidR="00C43459" w:rsidRDefault="00C43459" w:rsidP="00177400">
            <w:r>
              <w:sym w:font="Symbol" w:char="F06E"/>
            </w:r>
            <w:r>
              <w:t> </w:t>
            </w:r>
            <w:r w:rsidRPr="002E06D2">
              <w:rPr>
                <w:highlight w:val="cyan"/>
              </w:rPr>
              <w:t>: fréquence</w:t>
            </w:r>
            <w:r>
              <w:t xml:space="preserve"> (Hz)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95AD937" w14:textId="786F2A8A" w:rsidR="00C43459" w:rsidRDefault="00C43459" w:rsidP="00C43459">
            <w:pPr>
              <w:pStyle w:val="ListParagraph"/>
              <w:numPr>
                <w:ilvl w:val="0"/>
                <w:numId w:val="2"/>
              </w:numPr>
            </w:pPr>
            <w:r>
              <w:t xml:space="preserve">La </w:t>
            </w:r>
            <w:r w:rsidRPr="002E06D2">
              <w:rPr>
                <w:highlight w:val="cyan"/>
              </w:rPr>
              <w:t>longueur d’onde</w:t>
            </w:r>
            <w:r>
              <w:t xml:space="preserve"> est </w:t>
            </w:r>
            <w:r w:rsidRPr="002E06D2">
              <w:rPr>
                <w:highlight w:val="yellow"/>
              </w:rPr>
              <w:t>inversement proportionnelle</w:t>
            </w:r>
            <w:r>
              <w:t xml:space="preserve"> à la </w:t>
            </w:r>
            <w:r w:rsidRPr="002E06D2">
              <w:rPr>
                <w:highlight w:val="cyan"/>
              </w:rPr>
              <w:t>fréquence et a l’énergie</w:t>
            </w:r>
            <w:r>
              <w:t xml:space="preserve"> : E = h x </w:t>
            </w:r>
            <w:r>
              <w:sym w:font="Symbol" w:char="F06E"/>
            </w:r>
            <w:r>
              <w:t xml:space="preserve">, et c = </w:t>
            </w:r>
            <w:r>
              <w:sym w:font="Symbol" w:char="F06E"/>
            </w:r>
            <w:r>
              <w:t xml:space="preserve"> x </w:t>
            </w:r>
            <w:r>
              <w:sym w:font="Symbol" w:char="F06C"/>
            </w:r>
          </w:p>
        </w:tc>
      </w:tr>
      <w:tr w:rsidR="00C43459" w14:paraId="1AA07BCC" w14:textId="77777777" w:rsidTr="002D4C28">
        <w:trPr>
          <w:trHeight w:val="567"/>
        </w:trPr>
        <w:tc>
          <w:tcPr>
            <w:tcW w:w="279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637FB304" w14:textId="18EEBADD" w:rsidR="00C43459" w:rsidRDefault="00C43459" w:rsidP="00177400">
            <w:r>
              <w:t xml:space="preserve">h: </w:t>
            </w:r>
            <w:r w:rsidRPr="002E06D2">
              <w:rPr>
                <w:highlight w:val="yellow"/>
              </w:rPr>
              <w:t>constante de Planck</w:t>
            </w:r>
            <w:r>
              <w:t xml:space="preserve"> (6.626 x 10</w:t>
            </w:r>
            <w:r w:rsidRPr="00BB45DC">
              <w:rPr>
                <w:vertAlign w:val="superscript"/>
              </w:rPr>
              <w:t>-34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)</w:t>
            </w:r>
          </w:p>
        </w:tc>
        <w:tc>
          <w:tcPr>
            <w:tcW w:w="653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F28336" w14:textId="77124014" w:rsidR="00C43459" w:rsidRDefault="00C43459" w:rsidP="00177400"/>
        </w:tc>
      </w:tr>
      <w:tr w:rsidR="00E36AEA" w14:paraId="678C5131" w14:textId="77777777" w:rsidTr="00164203">
        <w:trPr>
          <w:trHeight w:val="3589"/>
        </w:trPr>
        <w:tc>
          <w:tcPr>
            <w:tcW w:w="279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000D338A" w14:textId="77777777" w:rsidR="00E36AEA" w:rsidRDefault="00E36AEA" w:rsidP="00BB45DC">
            <w:r>
              <w:t>A </w:t>
            </w:r>
            <w:r w:rsidRPr="00CA4398">
              <w:rPr>
                <w:highlight w:val="cyan"/>
              </w:rPr>
              <w:t>: L’absorbance</w:t>
            </w:r>
          </w:p>
          <w:p w14:paraId="01BBAAE5" w14:textId="77777777" w:rsidR="00E36AEA" w:rsidRDefault="00E36AEA" w:rsidP="00BB45DC">
            <w:r w:rsidRPr="00E36AEA">
              <w:rPr>
                <w:rFonts w:ascii="Book Antiqua" w:hAnsi="Book Antiqua"/>
              </w:rPr>
              <w:t>l</w:t>
            </w:r>
            <w:r>
              <w:rPr>
                <w:rFonts w:ascii="Book Antiqua" w:hAnsi="Book Antiqua"/>
              </w:rPr>
              <w:t xml:space="preserve">: </w:t>
            </w:r>
            <w:r w:rsidRPr="00E36AEA">
              <w:t>la distance parcourue l’échantillon</w:t>
            </w:r>
          </w:p>
          <w:p w14:paraId="4BE04F0A" w14:textId="77777777" w:rsidR="00CA4398" w:rsidRDefault="00E36AEA" w:rsidP="00BB45DC">
            <w:r>
              <w:t xml:space="preserve">T : </w:t>
            </w:r>
            <w:r w:rsidRPr="00CA4398">
              <w:rPr>
                <w:highlight w:val="green"/>
              </w:rPr>
              <w:t>La transmittance</w:t>
            </w:r>
            <w:r>
              <w:t xml:space="preserve"> </w:t>
            </w:r>
          </w:p>
          <w:p w14:paraId="5891465C" w14:textId="5443E620" w:rsidR="00E36AEA" w:rsidRDefault="00E36AEA" w:rsidP="00BB45DC">
            <w:r>
              <w:t>Log : Logarithme décimale</w:t>
            </w:r>
          </w:p>
        </w:tc>
        <w:tc>
          <w:tcPr>
            <w:tcW w:w="6531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33307D2" w14:textId="77777777" w:rsidR="00E36AEA" w:rsidRDefault="00E36AEA" w:rsidP="00C43459">
            <w:pPr>
              <w:pStyle w:val="ListParagraph"/>
              <w:numPr>
                <w:ilvl w:val="0"/>
                <w:numId w:val="2"/>
              </w:numPr>
            </w:pPr>
            <w:r>
              <w:t xml:space="preserve">La relation entre la lumière absorbée par une molécule est proportionnelle à la concentration de cette molécule et est exprimée par la </w:t>
            </w:r>
            <w:r w:rsidRPr="00B3589E">
              <w:rPr>
                <w:b/>
                <w:bCs/>
                <w:color w:val="000000" w:themeColor="text1"/>
                <w:u w:val="single"/>
              </w:rPr>
              <w:t>loi de Lambert-Beer</w:t>
            </w:r>
            <w:r>
              <w:t xml:space="preserve"> : </w:t>
            </w:r>
            <w:r w:rsidRPr="002E06D2">
              <w:rPr>
                <w:highlight w:val="yellow"/>
              </w:rPr>
              <w:t xml:space="preserve">A = </w:t>
            </w:r>
            <w:r w:rsidRPr="002E06D2">
              <w:rPr>
                <w:highlight w:val="yellow"/>
              </w:rPr>
              <w:sym w:font="Symbol" w:char="F065"/>
            </w:r>
            <w:r w:rsidRPr="002E06D2">
              <w:rPr>
                <w:highlight w:val="yellow"/>
              </w:rPr>
              <w:t xml:space="preserve"> x </w:t>
            </w:r>
            <w:r w:rsidRPr="002E06D2">
              <w:rPr>
                <w:rFonts w:ascii="Book Antiqua" w:hAnsi="Book Antiqua"/>
                <w:highlight w:val="yellow"/>
              </w:rPr>
              <w:t>l</w:t>
            </w:r>
            <w:r w:rsidRPr="002E06D2">
              <w:rPr>
                <w:highlight w:val="yellow"/>
              </w:rPr>
              <w:t xml:space="preserve"> x C</w:t>
            </w:r>
            <w:r>
              <w:t xml:space="preserve">, </w:t>
            </w:r>
            <w:r>
              <w:br/>
              <w:t>(C : Concentration en mol/L ou mg/L)</w:t>
            </w:r>
          </w:p>
          <w:p w14:paraId="3AECEB96" w14:textId="77777777" w:rsidR="00E36AEA" w:rsidRDefault="00E36AEA" w:rsidP="00E36AEA">
            <w:pPr>
              <w:pStyle w:val="ListParagraph"/>
              <w:numPr>
                <w:ilvl w:val="0"/>
                <w:numId w:val="2"/>
              </w:numPr>
            </w:pPr>
            <w:r>
              <w:t>La transmittance est une relation logarithmique avec l’intensité de la lumière absorbée et, par conséquent, l’absorbance : A = -Log(T)</w:t>
            </w:r>
          </w:p>
          <w:p w14:paraId="6DB6406F" w14:textId="77777777" w:rsidR="00E36AEA" w:rsidRDefault="00E36AEA" w:rsidP="00E36AEA">
            <w:pPr>
              <w:pStyle w:val="ListParagraph"/>
              <w:numPr>
                <w:ilvl w:val="0"/>
                <w:numId w:val="2"/>
              </w:numPr>
            </w:pPr>
            <w:r>
              <w:sym w:font="Symbol" w:char="F065"/>
            </w:r>
            <w:r>
              <w:t xml:space="preserve"> : coefficient d’extinction molaire ; quand </w:t>
            </w:r>
            <w:proofErr w:type="spellStart"/>
            <w:r>
              <w:t>C est</w:t>
            </w:r>
            <w:proofErr w:type="spellEnd"/>
            <w:r>
              <w:t xml:space="preserve"> en mol/L.</w:t>
            </w:r>
          </w:p>
          <w:p w14:paraId="0267EA18" w14:textId="03D2DBB6" w:rsidR="00E36AEA" w:rsidRDefault="00E36AEA" w:rsidP="00E36AEA">
            <w:pPr>
              <w:pStyle w:val="ListParagraph"/>
              <w:numPr>
                <w:ilvl w:val="0"/>
                <w:numId w:val="2"/>
              </w:numPr>
            </w:pPr>
            <w:r>
              <w:sym w:font="Symbol" w:char="F065"/>
            </w:r>
            <w:r>
              <w:t xml:space="preserve"> : coefficient d’extinction spécifique ; quand </w:t>
            </w:r>
            <w:proofErr w:type="spellStart"/>
            <w:r>
              <w:t>C est</w:t>
            </w:r>
            <w:proofErr w:type="spellEnd"/>
            <w:r>
              <w:t xml:space="preserve"> en mg/L.</w:t>
            </w:r>
          </w:p>
        </w:tc>
      </w:tr>
      <w:tr w:rsidR="006D68D7" w14:paraId="5786F6C0" w14:textId="77777777" w:rsidTr="00873DC4">
        <w:trPr>
          <w:trHeight w:val="2433"/>
        </w:trPr>
        <w:tc>
          <w:tcPr>
            <w:tcW w:w="9330" w:type="dxa"/>
            <w:gridSpan w:val="2"/>
            <w:tcBorders>
              <w:top w:val="thinThickThinMedium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14:paraId="32D82678" w14:textId="77777777" w:rsidR="006D68D7" w:rsidRDefault="006D68D7" w:rsidP="006D68D7">
            <w:pPr>
              <w:spacing w:line="480" w:lineRule="auto"/>
            </w:pPr>
            <w:r>
              <w:t>La matière interagit avec la lumière mais chaque molécule a une affinité maximale d’absorption.</w:t>
            </w:r>
          </w:p>
          <w:p w14:paraId="29489C9E" w14:textId="77777777" w:rsidR="006D68D7" w:rsidRDefault="006D68D7" w:rsidP="006D68D7">
            <w:pPr>
              <w:spacing w:line="480" w:lineRule="auto"/>
            </w:pPr>
            <w:r>
              <w:t xml:space="preserve">Donc, il faut toujours trouver, pour une molécule à analyser, la longueur d’onde qui correspond à une </w:t>
            </w:r>
            <w:r w:rsidRPr="00CA4398">
              <w:rPr>
                <w:highlight w:val="green"/>
              </w:rPr>
              <w:t>absorption maximale</w:t>
            </w:r>
            <w:r>
              <w:t>.</w:t>
            </w:r>
          </w:p>
          <w:p w14:paraId="61AD16C3" w14:textId="77777777" w:rsidR="006D68D7" w:rsidRDefault="006D68D7" w:rsidP="006D68D7">
            <w:pPr>
              <w:spacing w:line="480" w:lineRule="auto"/>
            </w:pPr>
            <w:r>
              <w:t xml:space="preserve">Procéder à </w:t>
            </w:r>
            <w:r w:rsidRPr="00CA4398">
              <w:rPr>
                <w:highlight w:val="cyan"/>
              </w:rPr>
              <w:t>scanne</w:t>
            </w:r>
            <w:r>
              <w:t>r dans le domaine visible (400 nm-800 nm) si l’échantillon est coloré.</w:t>
            </w:r>
          </w:p>
          <w:p w14:paraId="484F2DFA" w14:textId="77777777" w:rsidR="006D68D7" w:rsidRDefault="006D68D7" w:rsidP="006D68D7">
            <w:pPr>
              <w:spacing w:line="480" w:lineRule="auto"/>
            </w:pPr>
            <w:r>
              <w:t xml:space="preserve">Procéder à </w:t>
            </w:r>
            <w:r w:rsidRPr="00CA4398">
              <w:rPr>
                <w:highlight w:val="cyan"/>
              </w:rPr>
              <w:t>scanner</w:t>
            </w:r>
            <w:r>
              <w:t xml:space="preserve"> dans le domaine visible (190 nm-410 nm) si l’échantillon est incolore.</w:t>
            </w:r>
          </w:p>
          <w:p w14:paraId="300F56F0" w14:textId="20A3A252" w:rsidR="006D68D7" w:rsidRDefault="006D68D7" w:rsidP="006D68D7">
            <w:pPr>
              <w:spacing w:line="480" w:lineRule="auto"/>
            </w:pPr>
            <w:r>
              <w:t xml:space="preserve">La </w:t>
            </w:r>
            <w:r w:rsidRPr="00CA4398">
              <w:rPr>
                <w:highlight w:val="yellow"/>
              </w:rPr>
              <w:t>spectrophotométrie</w:t>
            </w:r>
            <w:r>
              <w:t xml:space="preserve"> d’absorption/émission ou la s</w:t>
            </w:r>
            <w:r w:rsidRPr="00CA4398">
              <w:rPr>
                <w:highlight w:val="yellow"/>
              </w:rPr>
              <w:t>pectroscopie</w:t>
            </w:r>
            <w:r>
              <w:t xml:space="preserve"> infra-rouge sont utilisées pour analyser la plupart des échantillons a un délai très bref.</w:t>
            </w:r>
          </w:p>
        </w:tc>
      </w:tr>
    </w:tbl>
    <w:p w14:paraId="09A9F7B2" w14:textId="56015646" w:rsidR="00767361" w:rsidRDefault="000D1E17" w:rsidP="00767361">
      <w:r>
        <w:t xml:space="preserve">Source : </w:t>
      </w:r>
      <w:hyperlink r:id="rId7" w:history="1">
        <w:r>
          <w:rPr>
            <w:rStyle w:val="Hyperlink"/>
          </w:rPr>
          <w:t>COULEUR et ABSORBANCE d'une solution | 1ère spé | Physique Chimie - YouTube</w:t>
        </w:r>
      </w:hyperlink>
    </w:p>
    <w:sectPr w:rsidR="007673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6DCC" w14:textId="77777777" w:rsidR="00177400" w:rsidRDefault="00177400" w:rsidP="00177400">
      <w:pPr>
        <w:spacing w:after="0" w:line="240" w:lineRule="auto"/>
      </w:pPr>
      <w:r>
        <w:separator/>
      </w:r>
    </w:p>
  </w:endnote>
  <w:endnote w:type="continuationSeparator" w:id="0">
    <w:p w14:paraId="60086F92" w14:textId="77777777" w:rsidR="00177400" w:rsidRDefault="00177400" w:rsidP="0017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76FA" w14:textId="77777777" w:rsidR="00177400" w:rsidRDefault="00177400" w:rsidP="00177400">
      <w:pPr>
        <w:spacing w:after="0" w:line="240" w:lineRule="auto"/>
      </w:pPr>
      <w:r>
        <w:separator/>
      </w:r>
    </w:p>
  </w:footnote>
  <w:footnote w:type="continuationSeparator" w:id="0">
    <w:p w14:paraId="46E8A721" w14:textId="77777777" w:rsidR="00177400" w:rsidRDefault="00177400" w:rsidP="0017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8880" w14:textId="618AE017" w:rsidR="00BB45DC" w:rsidRDefault="00177400" w:rsidP="00177400">
    <w:pPr>
      <w:pStyle w:val="Header"/>
      <w:jc w:val="center"/>
    </w:pPr>
    <w:r>
      <w:t xml:space="preserve">Les Propriétés de la </w:t>
    </w:r>
    <w:r w:rsidR="00BB45DC">
      <w:t>L</w:t>
    </w:r>
    <w:r>
      <w:t>umière</w:t>
    </w:r>
    <w:r w:rsidR="00BB45DC">
      <w:t>, et la Relation Entre l’Absorbance de la Lumière et la Concentration.</w:t>
    </w:r>
    <w:r>
      <w:t xml:space="preserve"> </w:t>
    </w:r>
  </w:p>
  <w:p w14:paraId="5F2458C0" w14:textId="6043A4E5" w:rsidR="00177400" w:rsidRDefault="00177400" w:rsidP="00177400">
    <w:pPr>
      <w:pStyle w:val="Header"/>
      <w:jc w:val="center"/>
    </w:pPr>
    <w:r>
      <w:t>Cours de Chimie Analytique</w:t>
    </w:r>
    <w:r w:rsidR="00BB45DC">
      <w:t xml:space="preserve">, </w:t>
    </w:r>
    <w:r>
      <w:t>Canadore College, Septembre 2023</w:t>
    </w:r>
  </w:p>
  <w:p w14:paraId="7D58042E" w14:textId="77777777" w:rsidR="00177400" w:rsidRDefault="0017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9FA"/>
    <w:multiLevelType w:val="hybridMultilevel"/>
    <w:tmpl w:val="EAE6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6689"/>
    <w:multiLevelType w:val="hybridMultilevel"/>
    <w:tmpl w:val="8EA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5568">
    <w:abstractNumId w:val="0"/>
  </w:num>
  <w:num w:numId="2" w16cid:durableId="115765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1"/>
    <w:rsid w:val="000D1E17"/>
    <w:rsid w:val="00177400"/>
    <w:rsid w:val="002E06D2"/>
    <w:rsid w:val="006D68D7"/>
    <w:rsid w:val="00767361"/>
    <w:rsid w:val="007F0D0E"/>
    <w:rsid w:val="00B3589E"/>
    <w:rsid w:val="00BB45DC"/>
    <w:rsid w:val="00C43459"/>
    <w:rsid w:val="00CA4398"/>
    <w:rsid w:val="00CF0AC1"/>
    <w:rsid w:val="00E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A5AD"/>
  <w15:chartTrackingRefBased/>
  <w15:docId w15:val="{44F42C62-595B-4524-B204-AD2DC17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77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0"/>
    <w:rPr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D1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33F1m7-09o&amp;ab_channel=PaulOliv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Belhadj</dc:creator>
  <cp:keywords/>
  <dc:description/>
  <cp:lastModifiedBy>Mohamed Belhadj</cp:lastModifiedBy>
  <cp:revision>5</cp:revision>
  <cp:lastPrinted>2023-10-26T10:51:00Z</cp:lastPrinted>
  <dcterms:created xsi:type="dcterms:W3CDTF">2023-10-26T10:23:00Z</dcterms:created>
  <dcterms:modified xsi:type="dcterms:W3CDTF">2023-10-26T11:43:00Z</dcterms:modified>
</cp:coreProperties>
</file>