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4D66BC45" w:rsidR="008E5517" w:rsidRDefault="2F7F58A4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  <w:lang w:val="en"/>
        </w:rPr>
      </w:pPr>
      <w:r w:rsidRPr="2F7F58A4">
        <w:rPr>
          <w:rFonts w:ascii="Arial" w:eastAsia="Arial" w:hAnsi="Arial" w:cs="Arial"/>
          <w:sz w:val="52"/>
          <w:szCs w:val="52"/>
          <w:lang w:val="en"/>
        </w:rPr>
        <w:t xml:space="preserve">Conception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mon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projet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d’érudition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l’enseignement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et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l’apprentissage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(EEA)</w:t>
      </w:r>
    </w:p>
    <w:p w14:paraId="5AFB1F3E" w14:textId="232B1B40" w:rsidR="007A409C" w:rsidRPr="00E869DC" w:rsidRDefault="007A409C" w:rsidP="007A409C">
      <w:pPr>
        <w:spacing w:before="20" w:after="100" w:line="350" w:lineRule="auto"/>
        <w:rPr>
          <w:rFonts w:eastAsia="Arial" w:cstheme="minorHAnsi"/>
          <w:sz w:val="24"/>
          <w:szCs w:val="24"/>
          <w:lang w:val="en"/>
        </w:rPr>
      </w:pPr>
      <w:r w:rsidRPr="00E869DC">
        <w:rPr>
          <w:rFonts w:eastAsia="Arial" w:cstheme="minorHAnsi"/>
          <w:sz w:val="24"/>
          <w:szCs w:val="24"/>
          <w:lang w:val="en"/>
        </w:rPr>
        <w:t xml:space="preserve">Pour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cette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activité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,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j’ai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décidé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d’utiliser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la recherche </w:t>
      </w:r>
      <w:r w:rsidR="00DF54DC" w:rsidRPr="00E869DC">
        <w:rPr>
          <w:rFonts w:eastAsia="Arial" w:cstheme="minorHAnsi"/>
          <w:sz w:val="24"/>
          <w:szCs w:val="24"/>
          <w:lang w:val="en"/>
        </w:rPr>
        <w:t xml:space="preserve">sur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laquelle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je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travaille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en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collaboration avec ma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professeure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, Dr Sophie Laurence.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:rsidRPr="00E869DC" w14:paraId="50F50F7D" w14:textId="77777777" w:rsidTr="200AC42F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7902" w14:textId="77777777" w:rsidR="29B99534" w:rsidRPr="00E869DC" w:rsidRDefault="417B3673" w:rsidP="200AC42F">
            <w:pPr>
              <w:spacing w:after="1180" w:afterAutospacing="1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Qu</w:t>
            </w:r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estion de </w:t>
            </w:r>
            <w:proofErr w:type="gramStart"/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recherche</w:t>
            </w:r>
            <w:proofErr w:type="gramEnd"/>
          </w:p>
          <w:p w14:paraId="5E48B87D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Comparaison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la performance à la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tâche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description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d’image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en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anglais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</w:t>
            </w:r>
          </w:p>
          <w:p w14:paraId="0A5B2780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.</w:t>
            </w:r>
          </w:p>
          <w:p w14:paraId="24148085" w14:textId="77777777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386C3188" w14:textId="29B51369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Comment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peut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aider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l’enseignement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l’apprentissage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?</w:t>
            </w:r>
          </w:p>
          <w:p w14:paraId="4D0B2B0C" w14:textId="51C78CCA" w:rsidR="003E0A38" w:rsidRPr="00E869DC" w:rsidRDefault="003E0A38" w:rsidP="003E0A3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Avec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résultats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nous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pourrons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confirmer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ou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rejeter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l’hypothèse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que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on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un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répertoire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mots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(ratio type-token,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sorte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verbe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, ICU, long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u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eur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énoncés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etc.)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comparativement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r w:rsidR="00222427">
              <w:rPr>
                <w:rFonts w:asciiTheme="minorHAnsi" w:hAnsiTheme="minorHAnsi" w:cstheme="minorHAnsi"/>
                <w:color w:val="C45911" w:themeColor="accent2" w:themeShade="BF"/>
              </w:rPr>
              <w:t>à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ceux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  <w:p w14:paraId="3A7DC3C6" w14:textId="77777777" w:rsidR="003E0A38" w:rsidRPr="00E869DC" w:rsidRDefault="003E0A38" w:rsidP="003E0A3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4CBA1991" w14:textId="6C75CCBA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Ce que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va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démontrer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: 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Il y a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différences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vocabulaire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la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grammaire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personnes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Ceci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important à savoir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comme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clinicienne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car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l’un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concept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majeurs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domaine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l’orthophonie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d’évaluer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les client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</w:t>
            </w:r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 xml:space="preserve">les deux </w:t>
            </w:r>
            <w:proofErr w:type="spellStart"/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>langues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pas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juste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une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</w:tc>
      </w:tr>
      <w:tr w:rsidR="29B99534" w:rsidRPr="00E869DC" w14:paraId="2DD9F8AB" w14:textId="77777777" w:rsidTr="200AC42F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D42D" w14:textId="77777777" w:rsidR="00DF54DC" w:rsidRPr="00E869DC" w:rsidRDefault="200AC42F" w:rsidP="00DF54DC">
            <w:pPr>
              <w:spacing w:after="0" w:line="276" w:lineRule="auto"/>
              <w:rPr>
                <w:rFonts w:eastAsia="Calibri" w:cstheme="minorHAnsi"/>
                <w:sz w:val="23"/>
                <w:szCs w:val="23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est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votre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question.</w:t>
            </w:r>
            <w:r w:rsidRPr="00E869DC">
              <w:rPr>
                <w:rFonts w:eastAsia="Calibri" w:cstheme="minorHAnsi"/>
                <w:sz w:val="23"/>
                <w:szCs w:val="23"/>
                <w:lang w:val="en"/>
              </w:rPr>
              <w:t xml:space="preserve"> </w:t>
            </w:r>
          </w:p>
          <w:p w14:paraId="6ED41088" w14:textId="77777777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color w:val="C45911" w:themeColor="accent2" w:themeShade="BF"/>
                <w:sz w:val="23"/>
                <w:szCs w:val="23"/>
                <w:lang w:val="en"/>
              </w:rPr>
            </w:pPr>
          </w:p>
          <w:p w14:paraId="323A3D3E" w14:textId="0BA1F09E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Peu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donc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il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est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difficile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trouver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l’information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pour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écrire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l’introduction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Par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contre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puisqu’il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n’y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 pas encore beaucoup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voilà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l’importance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d’en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parler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mener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conversation</w:t>
            </w:r>
            <w:r w:rsidR="00CA5E9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propos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</w:tc>
      </w:tr>
      <w:tr w:rsidR="29B99534" w:rsidRPr="00E869DC" w14:paraId="3D0E6380" w14:textId="77777777" w:rsidTr="200AC42F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7C67" w14:textId="2C47E7B7" w:rsidR="0355E02B" w:rsidRPr="00E869DC" w:rsidRDefault="0355E02B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l'activité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3BF682D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pédagogique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le devoir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favorisera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="089E6B3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par rapport au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693D8973" w14:textId="77777777" w:rsidR="29B99534" w:rsidRPr="00E869DC" w:rsidRDefault="29B995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</w:p>
          <w:p w14:paraId="3AD2FF5D" w14:textId="6161EA5B" w:rsidR="00AA4C2A" w:rsidRPr="00E869DC" w:rsidRDefault="00FB67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  <w:r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La nouvelle approche diffère de l’ancienne, car certaines cliniciennes </w:t>
            </w:r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ne croient encore pas qu’il </w:t>
            </w:r>
            <w:proofErr w:type="gramStart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>est</w:t>
            </w:r>
            <w:proofErr w:type="gramEnd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 nécessaire d’évaluer une personne bilingue dans les deux langues. Les résultats vont pouvoir montrer aux cliniciennes qu’il y a des différences entre les deux groupes, et qu’il ne devrait pas se faire évaluer de la même façon. Ces découvertes peuvent aussi être intéressantes pour les professeurs et les enseignants. </w:t>
            </w:r>
          </w:p>
        </w:tc>
      </w:tr>
      <w:tr w:rsidR="29B99534" w:rsidRPr="00E869DC" w14:paraId="506A4681" w14:textId="77777777" w:rsidTr="200AC42F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42FD482" w:rsidR="40C416CD" w:rsidRPr="00E869DC" w:rsidRDefault="40C416CD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260A8B20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="604621F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persuaderait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public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externe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nouvelle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modifiée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améliore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sur 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ciblé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4CAB69E3" w14:textId="77777777" w:rsidR="00E869DC" w:rsidRPr="00E869DC" w:rsidRDefault="00E869DC" w:rsidP="00C173D5">
            <w:pPr>
              <w:spacing w:after="0" w:line="276" w:lineRule="auto"/>
              <w:rPr>
                <w:rFonts w:cstheme="minorHAnsi"/>
              </w:rPr>
            </w:pPr>
          </w:p>
          <w:p w14:paraId="1819F304" w14:textId="7ECA5A82" w:rsidR="000D7482" w:rsidRPr="000B1B10" w:rsidRDefault="00E869DC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En évaluant les deux langues et non juste une, les résultats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des clients/étudiants/patients vont différer. Comme clinicienne, il est important</w:t>
            </w:r>
            <w:r w:rsidR="00CA5E9B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car nous pouvons poser un faux diagnostic ou même sous-estimer ou surestimer leurs difficultés. Comme professeur ou enseignant, il serait intéressant d’évaluer dans les deux langues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laisser les étudiants choisir la langue de leurs choix lors d’évaluations/projets 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ou de laisser les étudiants faire leurs brouillons dans la langue de leur choix 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pour les laisser travailler jusqu’à leur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plein potentiel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.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Cette technique d’enseignement est appelée le </w:t>
            </w:r>
            <w:proofErr w:type="spellStart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translaguage</w:t>
            </w:r>
            <w:proofErr w:type="spellEnd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pédagogique. Elle permet à l’élève d’utiliser les connaissances de sa langue parlée principale pour mener sa réflexion avant de rédiger son travail en français. Peu de recherche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sont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fait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sur ce technique à ce jour. </w:t>
            </w:r>
            <w:hyperlink r:id="rId10" w:history="1">
              <w:r w:rsidR="000D7482" w:rsidRPr="000B1B10">
                <w:rPr>
                  <w:rStyle w:val="Hyperlink"/>
                  <w:rFonts w:cstheme="minorHAnsi"/>
                  <w:color w:val="C45911" w:themeColor="accent2" w:themeShade="BF"/>
                  <w:sz w:val="24"/>
                  <w:szCs w:val="24"/>
                </w:rPr>
                <w:t>https://francopresse.ca/education/2022/04/14/le-translagage-pedagogique-un-outil-potentiel-pour-enseigner-le-francais/</w:t>
              </w:r>
            </w:hyperlink>
          </w:p>
          <w:p w14:paraId="51E5BE98" w14:textId="77777777" w:rsidR="000D7482" w:rsidRPr="000B1B10" w:rsidRDefault="000D7482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</w:p>
          <w:p w14:paraId="4A25E261" w14:textId="2A6A7A62" w:rsidR="00C65AC7" w:rsidRPr="000B1B10" w:rsidRDefault="00C65AC7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« 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Les élèves peuvent avoir de bonnes idées dans leur langue dominante, la langue dans laquelle ils pensent, mais avoir de la difficulté à les exprimer. Le résultat que ça donne, c’est peut-être une idée pas très développée, comme s’ils n’ont pas bien suivi les consignes. »</w:t>
            </w:r>
          </w:p>
          <w:p w14:paraId="1AABE2E7" w14:textId="235617B4" w:rsidR="000D7482" w:rsidRPr="000D7482" w:rsidRDefault="000D7482" w:rsidP="00C173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Chantal Mayer-</w:t>
            </w:r>
            <w:proofErr w:type="spellStart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Crittenden</w:t>
            </w:r>
            <w:proofErr w:type="spellEnd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 professeure agrégée en orthophonie à l’Université Laurentienne</w:t>
            </w:r>
          </w:p>
        </w:tc>
      </w:tr>
      <w:tr w:rsidR="29B99534" w:rsidRPr="00E869DC" w14:paraId="31AC2DBA" w14:textId="77777777" w:rsidTr="200AC42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9305" w14:textId="77C53355" w:rsidR="186651B3" w:rsidRPr="00E869DC" w:rsidRDefault="200AC42F" w:rsidP="29B99534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 xml:space="preserve">Comment et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où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publieriez-vous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présenteriez-vous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diffuseriez-vous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travail?</w:t>
            </w:r>
          </w:p>
          <w:p w14:paraId="4B7F8C70" w14:textId="6681D977" w:rsidR="29B99534" w:rsidRPr="00CC240C" w:rsidRDefault="000B1B10" w:rsidP="00C173D5">
            <w:pPr>
              <w:spacing w:before="80" w:after="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J’ai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la chance extraordinaire de </w:t>
            </w: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à la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national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SAC-OAC 2024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organisé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Vancouver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L’étude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va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ê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publi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dans au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1 journal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d’orthophonie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par Dr Sophie Laurence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2024,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lors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son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sab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atique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Ma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collègue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Émilie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sommes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collaboratrice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sur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recherche. </w:t>
            </w:r>
          </w:p>
          <w:p w14:paraId="3EC865DB" w14:textId="7915F960" w:rsidR="00A3720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r>
              <w:fldChar w:fldCharType="begin"/>
            </w:r>
            <w:r>
              <w:instrText xml:space="preserve"> INCLUDEPICTURE "https://sac-conference.ca/wp-content/uploads/2023/10/conference-package.jpg"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656813" wp14:editId="3798B9A0">
                  <wp:extent cx="5626100" cy="4351020"/>
                  <wp:effectExtent l="0" t="0" r="0" b="5080"/>
                  <wp:docPr id="765856881" name="Picture 1" descr="Exhibitors - The 2024 SAC Con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hibitors - The 2024 SAC Con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435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7E2F4E2" w14:textId="67C505B0" w:rsidR="00A3720C" w:rsidRPr="00E869D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</w:p>
        </w:tc>
      </w:tr>
      <w:tr w:rsidR="0032388B" w:rsidRPr="00E869DC" w14:paraId="4BE312BE" w14:textId="77777777" w:rsidTr="0032388B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D32" w14:textId="77777777" w:rsidR="0032388B" w:rsidRDefault="0032388B" w:rsidP="0032388B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Mise à jour </w:t>
            </w:r>
            <w:proofErr w:type="spellStart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éthique</w:t>
            </w:r>
            <w:proofErr w:type="spellEnd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14:paraId="1F31930D" w14:textId="40F5B106" w:rsidR="0032388B" w:rsidRPr="0032388B" w:rsidRDefault="0032388B" w:rsidP="0032388B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4"/>
                <w:szCs w:val="24"/>
                <w:lang w:val="en"/>
              </w:rPr>
            </w:pP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Pour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étude,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l’ap</w:t>
            </w:r>
            <w:r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</w:t>
            </w: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robation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du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comité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</w:t>
            </w: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’éthique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la recherche (CER) de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l’université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laurentienne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obtenue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.</w:t>
            </w:r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Certains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principes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qui faut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suivre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pour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garder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notre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lastRenderedPageBreak/>
              <w:t>éthique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validité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scientifique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sélection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équitable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, rapport-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bénéfice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/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risque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favorable,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consentement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éclairé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respect des participants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potentiels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inscris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</w:tc>
      </w:tr>
      <w:tr w:rsidR="005D119F" w:rsidRPr="00E869DC" w14:paraId="592A6382" w14:textId="77777777" w:rsidTr="005D119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6CD5" w14:textId="77777777" w:rsidR="005D119F" w:rsidRDefault="005D119F" w:rsidP="005D119F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 xml:space="preserve">Diffusion du </w:t>
            </w:r>
            <w:proofErr w:type="spellStart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projet</w:t>
            </w:r>
            <w:proofErr w:type="spellEnd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14:paraId="358F2AD0" w14:textId="4F220349" w:rsidR="005D119F" w:rsidRPr="000A4FA3" w:rsidRDefault="005D119F" w:rsidP="005D119F">
            <w:pPr>
              <w:pStyle w:val="ListParagraph"/>
              <w:numPr>
                <w:ilvl w:val="0"/>
                <w:numId w:val="3"/>
              </w:num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affiche</w:t>
            </w:r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la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national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d’Orthophonie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audiologie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Canada</w:t>
            </w:r>
          </w:p>
          <w:p w14:paraId="1E3ADA35" w14:textId="77777777" w:rsidR="000A4FA3" w:rsidRPr="000A4FA3" w:rsidRDefault="005D119F" w:rsidP="000A4FA3">
            <w:pPr>
              <w:pStyle w:val="ListParagraph"/>
              <w:numPr>
                <w:ilvl w:val="0"/>
                <w:numId w:val="3"/>
              </w:num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Publier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un article dans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revue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scientifique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</w:p>
          <w:p w14:paraId="18E11887" w14:textId="1CB1EDE9" w:rsidR="005D119F" w:rsidRPr="000A4FA3" w:rsidRDefault="005D119F" w:rsidP="000A4FA3">
            <w:pPr>
              <w:pStyle w:val="ListParagraph"/>
              <w:numPr>
                <w:ilvl w:val="0"/>
                <w:numId w:val="3"/>
              </w:num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</w:pP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les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résultats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sur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plat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forme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accessible par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toutes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les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personnes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qui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sont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int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éressée</w:t>
            </w:r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savoir plus, par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exemple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X, 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F</w:t>
            </w:r>
            <w:r w:rsidR="000A4FA3"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acebook, 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LinkedI</w:t>
            </w:r>
            <w:r w:rsidR="000A4FA3"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n, etc.</w:t>
            </w:r>
            <w:r w:rsidR="000A4FA3" w:rsidRPr="000A4FA3">
              <w:rPr>
                <w:rFonts w:eastAsia="Calibri" w:cstheme="minorHAnsi"/>
                <w:b/>
                <w:bCs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</w:p>
          <w:p w14:paraId="6EE16D48" w14:textId="0C622430" w:rsidR="000A4FA3" w:rsidRPr="000A4FA3" w:rsidRDefault="000A4FA3" w:rsidP="000A4FA3">
            <w:p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</w:pPr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Je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crois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qu’il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est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important de donner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l’accès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aux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résultats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cette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recherche à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tous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ceux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qui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travaillent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avec la population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cible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, car ne pas le faire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pourrait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nuire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au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potentiel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soins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des clients/patients/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étudiants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et au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potentiel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d’apprentissage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des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professionnels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. Comme on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dit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, la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connaissance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est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la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clé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du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pouvoir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serait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égoïste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 ne pas le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partager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. </w:t>
            </w:r>
          </w:p>
        </w:tc>
      </w:tr>
      <w:tr w:rsidR="005D119F" w:rsidRPr="00E869DC" w14:paraId="326C5751" w14:textId="77777777" w:rsidTr="005D119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1B22" w14:textId="77777777" w:rsidR="005D119F" w:rsidRDefault="005D119F" w:rsidP="005D119F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5D119F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00FB00B8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Réflexion</w:t>
            </w:r>
            <w:proofErr w:type="spellEnd"/>
            <w:r w:rsidR="00FB00B8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sur le module </w:t>
            </w:r>
            <w:proofErr w:type="spellStart"/>
            <w:r w:rsidR="00FB00B8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d’Érudie</w:t>
            </w:r>
            <w:proofErr w:type="spellEnd"/>
            <w:r w:rsidR="00FB00B8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14:paraId="4841CA51" w14:textId="6FC417DB" w:rsidR="00204C48" w:rsidRDefault="00424230" w:rsidP="005D119F">
            <w:p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 module a pass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</w:t>
            </w:r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par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toute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les étapes; former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une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question de recherche, identifier les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défis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quel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serons les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bén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éfici</w:t>
            </w:r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ent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l’étude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comment et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où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publier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ainsi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que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l’éthique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(qui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est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l’une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étapes les plus </w:t>
            </w:r>
            <w:proofErr w:type="spellStart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importante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). </w:t>
            </w:r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Au début,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j’avais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la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difficulté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penser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une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d’EEA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faire.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Puis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j’ai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commenc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réfl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</w:t>
            </w:r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chir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comment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puis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-je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incorporer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ma recherche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orthophonie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A64CCD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à</w:t>
            </w:r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l’enseignement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/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l’apprentissage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? Avec la pens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ée</w:t>
            </w:r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critique,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j’ai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découvrir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que </w:t>
            </w:r>
            <w:r w:rsidR="00A64CCD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pas</w:t>
            </w:r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juste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les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orthophoniste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peuvent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bénéficier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ma recherche. Les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enseignants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psychoéducateurs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chercheurs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bilinguisme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tout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autre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cliniciens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pourraient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potentiellement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aussi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bénéficier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résultats</w:t>
            </w:r>
            <w:proofErr w:type="spellEnd"/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de la conclusion de ma </w:t>
            </w:r>
            <w:proofErr w:type="gram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question</w:t>
            </w:r>
            <w:proofErr w:type="gram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FB00B8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de recherche. </w:t>
            </w:r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Si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mes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paires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y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on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penser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je suis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certaine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que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d’autres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personnes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se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posent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probablement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aussi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les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êmes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questions.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Selon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le but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ultime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du module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d’érudit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est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nous faire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penser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comment nous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pouvons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améliorer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nos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méthodes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d’enseignements</w:t>
            </w:r>
            <w:proofErr w:type="spellEnd"/>
            <w:r w:rsidR="00A64CCD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avec la</w:t>
            </w:r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recherche, pour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répondre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mieux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possible aux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lastRenderedPageBreak/>
              <w:t>besoins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à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</w:t>
            </w:r>
            <w:r w:rsidR="00B538CD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</w:t>
            </w:r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pprentissage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étudiants</w:t>
            </w:r>
            <w:proofErr w:type="spellEnd"/>
            <w:r w:rsidR="00A70080" w:rsidRPr="00204C48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.</w:t>
            </w:r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Je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crois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avoir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accomplis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tache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d’avoir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amélior</w:t>
            </w:r>
            <w:r w:rsidR="00AB07E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</w:t>
            </w:r>
            <w:proofErr w:type="spellEnd"/>
            <w:r w:rsidR="00AB07E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ma pensée critique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envers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l’apprentissage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l’esneignement</w:t>
            </w:r>
            <w:proofErr w:type="spellEnd"/>
            <w:r w:rsidR="00A4684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  <w:p w14:paraId="1F4B6E91" w14:textId="4C108276" w:rsidR="008D36F2" w:rsidRDefault="008D36F2" w:rsidP="008D36F2">
            <w:pPr>
              <w:spacing w:after="0" w:line="276" w:lineRule="auto"/>
              <w:rPr>
                <w:rFonts w:eastAsia="Arial" w:cstheme="minorHAnsi"/>
                <w:sz w:val="24"/>
                <w:szCs w:val="24"/>
                <w:lang w:val="en"/>
              </w:rPr>
            </w:pPr>
            <w:r>
              <w:fldChar w:fldCharType="begin"/>
            </w:r>
            <w:r>
              <w:instrText xml:space="preserve"> INCLUDEPICTURE "https://live.staticflickr.com/3193/5807870061_8c95c6ccbb_b.jpg"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69BD63" wp14:editId="6393549B">
                  <wp:extent cx="5619180" cy="3747600"/>
                  <wp:effectExtent l="0" t="0" r="0" b="0"/>
                  <wp:docPr id="1860291456" name="Picture 1" descr="Creative Company Conference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pany Conference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180" cy="37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D6CCFCA" w14:textId="2621AFC0" w:rsidR="00CD3CE9" w:rsidRPr="001D5041" w:rsidRDefault="008D36F2" w:rsidP="008D36F2">
            <w:pPr>
              <w:spacing w:after="0" w:line="276" w:lineRule="auto"/>
              <w:rPr>
                <w:rFonts w:eastAsia="Arial" w:cstheme="minorHAnsi"/>
                <w:i/>
                <w:iCs/>
                <w:sz w:val="24"/>
                <w:szCs w:val="24"/>
                <w:lang w:val="en"/>
              </w:rPr>
            </w:pPr>
            <w:r w:rsidRPr="001D5041">
              <w:rPr>
                <w:rFonts w:eastAsia="Arial" w:cstheme="minorHAnsi"/>
                <w:i/>
                <w:iCs/>
                <w:sz w:val="24"/>
                <w:szCs w:val="24"/>
                <w:lang w:val="en"/>
              </w:rPr>
              <w:t xml:space="preserve">"Creative Company Conference 2011" by </w:t>
            </w:r>
            <w:proofErr w:type="spellStart"/>
            <w:r w:rsidRPr="001D5041">
              <w:rPr>
                <w:rFonts w:eastAsia="Arial" w:cstheme="minorHAnsi"/>
                <w:i/>
                <w:iCs/>
                <w:sz w:val="24"/>
                <w:szCs w:val="24"/>
                <w:lang w:val="en"/>
              </w:rPr>
              <w:t>Sebastiaan</w:t>
            </w:r>
            <w:proofErr w:type="spellEnd"/>
            <w:r w:rsidRPr="001D5041">
              <w:rPr>
                <w:rFonts w:eastAsia="Arial" w:cstheme="minorHAnsi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1D5041">
              <w:rPr>
                <w:rFonts w:eastAsia="Arial" w:cstheme="minorHAnsi"/>
                <w:i/>
                <w:iCs/>
                <w:sz w:val="24"/>
                <w:szCs w:val="24"/>
                <w:lang w:val="en"/>
              </w:rPr>
              <w:t>ter</w:t>
            </w:r>
            <w:proofErr w:type="spellEnd"/>
            <w:r w:rsidRPr="001D5041">
              <w:rPr>
                <w:rFonts w:eastAsia="Arial" w:cstheme="minorHAnsi"/>
                <w:i/>
                <w:iCs/>
                <w:sz w:val="24"/>
                <w:szCs w:val="24"/>
                <w:lang w:val="en"/>
              </w:rPr>
              <w:t xml:space="preserve"> Burg is licensed under CC BY-SA 2.0.</w:t>
            </w:r>
          </w:p>
        </w:tc>
      </w:tr>
    </w:tbl>
    <w:p w14:paraId="583BE4E5" w14:textId="18C03CAC" w:rsidR="0032388B" w:rsidRPr="0032388B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p w14:paraId="022B81E3" w14:textId="12BDC948" w:rsidR="2FAF3286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  <w:proofErr w:type="spellStart"/>
      <w:r w:rsidRPr="0032388B">
        <w:rPr>
          <w:rFonts w:eastAsia="Arial" w:cstheme="minorHAnsi"/>
          <w:sz w:val="24"/>
          <w:szCs w:val="24"/>
          <w:lang w:val="en"/>
        </w:rPr>
        <w:t>Adapté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</w:t>
      </w:r>
      <w:proofErr w:type="gramStart"/>
      <w:r w:rsidRPr="0032388B">
        <w:rPr>
          <w:rFonts w:eastAsia="Arial" w:cstheme="minorHAnsi"/>
          <w:sz w:val="24"/>
          <w:szCs w:val="24"/>
          <w:lang w:val="en"/>
        </w:rPr>
        <w:t>de :</w:t>
      </w:r>
      <w:proofErr w:type="gramEnd"/>
      <w:r w:rsidRPr="0032388B">
        <w:rPr>
          <w:rFonts w:eastAsia="Arial" w:cstheme="minorHAnsi"/>
          <w:sz w:val="24"/>
          <w:szCs w:val="24"/>
          <w:lang w:val="en"/>
        </w:rPr>
        <w:t xml:space="preserve"> C. J.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Stanny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, E. M. El-Sheikh, &amp; H-M. Chung (2009) Getting Started with a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SoTL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Project (Commencer un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projet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d’EEA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) Center for University Teaching, Learning, and Assessment  </w:t>
      </w:r>
      <w:hyperlink r:id="rId13" w:history="1">
        <w:r w:rsidRPr="00C94FAE">
          <w:rPr>
            <w:rStyle w:val="Hyperlink"/>
            <w:rFonts w:eastAsia="Arial" w:cstheme="minorHAnsi"/>
            <w:sz w:val="24"/>
            <w:szCs w:val="24"/>
            <w:lang w:val="en"/>
          </w:rPr>
          <w:t>http://uwf.edu/cutla/</w:t>
        </w:r>
      </w:hyperlink>
    </w:p>
    <w:p w14:paraId="41EA8C30" w14:textId="77777777" w:rsidR="0032388B" w:rsidRPr="00E869DC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sectPr w:rsidR="0032388B" w:rsidRPr="00E869DC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B6EF" w14:textId="77777777" w:rsidR="00561359" w:rsidRDefault="00561359" w:rsidP="008E5517">
      <w:pPr>
        <w:spacing w:after="0" w:line="240" w:lineRule="auto"/>
      </w:pPr>
      <w:r>
        <w:separator/>
      </w:r>
    </w:p>
  </w:endnote>
  <w:endnote w:type="continuationSeparator" w:id="0">
    <w:p w14:paraId="0E8D6AB2" w14:textId="77777777" w:rsidR="00561359" w:rsidRDefault="00561359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-u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2CC5" w14:textId="77777777" w:rsidR="00561359" w:rsidRDefault="00561359" w:rsidP="008E5517">
      <w:pPr>
        <w:spacing w:after="0" w:line="240" w:lineRule="auto"/>
      </w:pPr>
      <w:r>
        <w:separator/>
      </w:r>
    </w:p>
  </w:footnote>
  <w:footnote w:type="continuationSeparator" w:id="0">
    <w:p w14:paraId="08486C2B" w14:textId="77777777" w:rsidR="00561359" w:rsidRDefault="00561359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544"/>
    <w:multiLevelType w:val="hybridMultilevel"/>
    <w:tmpl w:val="4C1C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91F5C"/>
    <w:multiLevelType w:val="hybridMultilevel"/>
    <w:tmpl w:val="AAE22568"/>
    <w:lvl w:ilvl="0" w:tplc="0C0EC9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109F7"/>
    <w:multiLevelType w:val="hybridMultilevel"/>
    <w:tmpl w:val="F7EE1D98"/>
    <w:lvl w:ilvl="0" w:tplc="E1146D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27999">
    <w:abstractNumId w:val="2"/>
  </w:num>
  <w:num w:numId="2" w16cid:durableId="749232140">
    <w:abstractNumId w:val="1"/>
  </w:num>
  <w:num w:numId="3" w16cid:durableId="203064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0136"/>
    <w:rsid w:val="000A4FA3"/>
    <w:rsid w:val="000B1B10"/>
    <w:rsid w:val="000D7482"/>
    <w:rsid w:val="001D5041"/>
    <w:rsid w:val="00204C48"/>
    <w:rsid w:val="00214DF8"/>
    <w:rsid w:val="00222427"/>
    <w:rsid w:val="0032388B"/>
    <w:rsid w:val="003B2235"/>
    <w:rsid w:val="003E0A38"/>
    <w:rsid w:val="00424230"/>
    <w:rsid w:val="00561359"/>
    <w:rsid w:val="005D119F"/>
    <w:rsid w:val="007A409C"/>
    <w:rsid w:val="00870085"/>
    <w:rsid w:val="008B401B"/>
    <w:rsid w:val="008D36F2"/>
    <w:rsid w:val="008E5517"/>
    <w:rsid w:val="00944EDF"/>
    <w:rsid w:val="009A6186"/>
    <w:rsid w:val="009B1E62"/>
    <w:rsid w:val="009F2488"/>
    <w:rsid w:val="00A3720C"/>
    <w:rsid w:val="00A4684C"/>
    <w:rsid w:val="00A64CCD"/>
    <w:rsid w:val="00A70080"/>
    <w:rsid w:val="00AA4C2A"/>
    <w:rsid w:val="00AB07E3"/>
    <w:rsid w:val="00AE0035"/>
    <w:rsid w:val="00B538CD"/>
    <w:rsid w:val="00BD48C7"/>
    <w:rsid w:val="00C173D5"/>
    <w:rsid w:val="00C65AC7"/>
    <w:rsid w:val="00CA5E9B"/>
    <w:rsid w:val="00CC240C"/>
    <w:rsid w:val="00CD3CE9"/>
    <w:rsid w:val="00CE6DF9"/>
    <w:rsid w:val="00DF54DC"/>
    <w:rsid w:val="00E24601"/>
    <w:rsid w:val="00E869DC"/>
    <w:rsid w:val="00FB00B8"/>
    <w:rsid w:val="00FB6734"/>
    <w:rsid w:val="0355E02B"/>
    <w:rsid w:val="052A5A77"/>
    <w:rsid w:val="05C27C47"/>
    <w:rsid w:val="06586F65"/>
    <w:rsid w:val="081FF1B2"/>
    <w:rsid w:val="089E6B3B"/>
    <w:rsid w:val="08FA1D09"/>
    <w:rsid w:val="0990C862"/>
    <w:rsid w:val="0A46609C"/>
    <w:rsid w:val="0A95ED6A"/>
    <w:rsid w:val="0BDBDB7C"/>
    <w:rsid w:val="0E4B1128"/>
    <w:rsid w:val="102B7B52"/>
    <w:rsid w:val="12C080A0"/>
    <w:rsid w:val="15F169FC"/>
    <w:rsid w:val="16FD37EF"/>
    <w:rsid w:val="180B1BCB"/>
    <w:rsid w:val="186651B3"/>
    <w:rsid w:val="1893A7E8"/>
    <w:rsid w:val="19E44FA4"/>
    <w:rsid w:val="1A850E5A"/>
    <w:rsid w:val="1E9552CA"/>
    <w:rsid w:val="1F1A4956"/>
    <w:rsid w:val="200AC42F"/>
    <w:rsid w:val="22A5E842"/>
    <w:rsid w:val="22FC4CD9"/>
    <w:rsid w:val="2595BBE3"/>
    <w:rsid w:val="260A8B20"/>
    <w:rsid w:val="281004BE"/>
    <w:rsid w:val="29B99534"/>
    <w:rsid w:val="2A718846"/>
    <w:rsid w:val="2D3A01B6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7C7A9DD"/>
    <w:rsid w:val="3985C22D"/>
    <w:rsid w:val="3B8E3C76"/>
    <w:rsid w:val="3BF682DB"/>
    <w:rsid w:val="3EC009AE"/>
    <w:rsid w:val="3EDF20A6"/>
    <w:rsid w:val="3F892CFF"/>
    <w:rsid w:val="407529AA"/>
    <w:rsid w:val="40C416CD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CC839A1"/>
    <w:rsid w:val="4E177CCB"/>
    <w:rsid w:val="4F0EFE64"/>
    <w:rsid w:val="518B100A"/>
    <w:rsid w:val="52469F26"/>
    <w:rsid w:val="53E26F87"/>
    <w:rsid w:val="5AB6E801"/>
    <w:rsid w:val="5C81ACF9"/>
    <w:rsid w:val="5D2731DB"/>
    <w:rsid w:val="5D3F460A"/>
    <w:rsid w:val="5E7D14C0"/>
    <w:rsid w:val="604621F2"/>
    <w:rsid w:val="6328F164"/>
    <w:rsid w:val="645618AE"/>
    <w:rsid w:val="64A4CF9F"/>
    <w:rsid w:val="654A57EF"/>
    <w:rsid w:val="6B2ADBA0"/>
    <w:rsid w:val="6D4E569E"/>
    <w:rsid w:val="707B1784"/>
    <w:rsid w:val="7216E7E5"/>
    <w:rsid w:val="72F1D130"/>
    <w:rsid w:val="7568693F"/>
    <w:rsid w:val="75AD1E0A"/>
    <w:rsid w:val="76543EAC"/>
    <w:rsid w:val="770439A0"/>
    <w:rsid w:val="7A9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D74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wf.edu/cutl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rancopresse.ca/education/2022/04/14/le-translagage-pedagogique-un-outil-potentiel-pour-enseigner-le-franca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70DEEB59-1BC6-4F5E-B18A-2777C714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2023-06-07T16:04:00Z</dcterms:created>
  <dcterms:modified xsi:type="dcterms:W3CDTF">2023-12-15T20:20:00Z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