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0875" w:type="dxa"/>
        <w:tblInd w:w="-8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1087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20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pStyle w:val="11"/>
              <w:pageBreakBefore w:val="0"/>
              <w:spacing w:before="20" w:after="100" w:line="352" w:lineRule="auto"/>
              <w:jc w:val="center"/>
            </w:pPr>
            <w:bookmarkStart w:id="2" w:name="_GoBack"/>
            <w:bookmarkEnd w:id="2"/>
            <w:bookmarkStart w:id="0" w:name="_ut99pln1pgyz" w:colFirst="0" w:colLast="0"/>
            <w:bookmarkEnd w:id="0"/>
            <w:r>
              <w:rPr>
                <w:rtl w:val="0"/>
              </w:rPr>
              <w:t>Plan for a SoTL Project</w:t>
            </w:r>
          </w:p>
          <w:p>
            <w:pPr>
              <w:pStyle w:val="10"/>
              <w:pageBreakBefore w:val="0"/>
              <w:jc w:val="center"/>
              <w:rPr>
                <w:rFonts w:hint="default"/>
                <w:sz w:val="28"/>
                <w:szCs w:val="28"/>
                <w:u w:val="single"/>
                <w:lang w:val="en-US"/>
              </w:rPr>
            </w:pPr>
            <w:bookmarkStart w:id="1" w:name="_4lk4e4ouqdig" w:colFirst="0" w:colLast="0"/>
            <w:bookmarkEnd w:id="1"/>
            <w:r>
              <w:rPr>
                <w:sz w:val="28"/>
                <w:szCs w:val="28"/>
                <w:rtl w:val="0"/>
              </w:rPr>
              <w:t xml:space="preserve">by </w:t>
            </w:r>
            <w:r>
              <w:rPr>
                <w:rFonts w:hint="default"/>
                <w:sz w:val="28"/>
                <w:szCs w:val="28"/>
                <w:u w:val="single"/>
                <w:rtl w:val="0"/>
                <w:lang w:val="en-US"/>
              </w:rPr>
              <w:t>Shawn Luo, St. Lawrence College</w:t>
            </w:r>
          </w:p>
          <w:p>
            <w:pPr>
              <w:pageBreakBefore w:val="0"/>
              <w:spacing w:before="80" w:line="306" w:lineRule="auto"/>
              <w:ind w:left="160" w:firstLine="0"/>
              <w:rPr>
                <w:rFonts w:ascii="Calibri" w:hAnsi="Calibri" w:eastAsia="Calibri" w:cs="Calibri"/>
                <w:b/>
                <w:sz w:val="25"/>
                <w:szCs w:val="25"/>
              </w:rPr>
            </w:pPr>
            <w:r>
              <w:rPr>
                <w:rFonts w:ascii="Calibri" w:hAnsi="Calibri" w:eastAsia="Calibri" w:cs="Calibri"/>
                <w:b/>
                <w:sz w:val="25"/>
                <w:szCs w:val="25"/>
                <w:rtl w:val="0"/>
              </w:rPr>
              <w:t>Research Question</w:t>
            </w:r>
          </w:p>
          <w:p>
            <w:pPr>
              <w:pageBreakBefore w:val="0"/>
              <w:spacing w:line="276" w:lineRule="auto"/>
              <w:ind w:left="160" w:firstLine="0"/>
              <w:rPr>
                <w:rFonts w:ascii="Calibri" w:hAnsi="Calibri" w:eastAsia="Calibri" w:cs="Calibri"/>
                <w:i/>
                <w:color w:val="B7B7B7"/>
                <w:sz w:val="23"/>
                <w:szCs w:val="23"/>
              </w:rPr>
            </w:pPr>
            <w:r>
              <w:rPr>
                <w:rFonts w:ascii="Calibri" w:hAnsi="Calibri" w:eastAsia="Calibri" w:cs="Calibri"/>
                <w:i/>
                <w:color w:val="B7B7B7"/>
                <w:sz w:val="23"/>
                <w:szCs w:val="23"/>
                <w:rtl w:val="0"/>
              </w:rPr>
              <w:t xml:space="preserve">What are you curious about? </w:t>
            </w:r>
          </w:p>
          <w:p>
            <w:pPr>
              <w:pageBreakBefore w:val="0"/>
              <w:spacing w:line="276" w:lineRule="auto"/>
              <w:ind w:left="160" w:firstLine="0"/>
              <w:rPr>
                <w:rFonts w:ascii="Calibri" w:hAnsi="Calibri" w:eastAsia="Calibri" w:cs="Calibri"/>
                <w:i/>
                <w:color w:val="B7B7B7"/>
                <w:sz w:val="23"/>
                <w:szCs w:val="23"/>
              </w:rPr>
            </w:pPr>
            <w:r>
              <w:rPr>
                <w:rFonts w:ascii="Calibri" w:hAnsi="Calibri" w:eastAsia="Calibri" w:cs="Calibri"/>
                <w:i/>
                <w:color w:val="B7B7B7"/>
                <w:sz w:val="23"/>
                <w:szCs w:val="23"/>
                <w:rtl w:val="0"/>
              </w:rPr>
              <w:t>What would you like to know about strategies that might hinder and/or help students to learn, in your course?</w:t>
            </w:r>
          </w:p>
          <w:p>
            <w:pPr>
              <w:pageBreakBefore w:val="0"/>
              <w:spacing w:line="285" w:lineRule="auto"/>
              <w:ind w:left="160" w:firstLine="0"/>
              <w:rPr>
                <w:rFonts w:ascii="Calibri" w:hAnsi="Calibri" w:eastAsia="Calibri" w:cs="Calibri"/>
                <w:i/>
                <w:color w:val="B7B7B7"/>
                <w:sz w:val="23"/>
                <w:szCs w:val="23"/>
              </w:rPr>
            </w:pPr>
            <w:r>
              <w:rPr>
                <w:rFonts w:ascii="Calibri" w:hAnsi="Calibri" w:eastAsia="Calibri" w:cs="Calibri"/>
                <w:i/>
                <w:color w:val="B7B7B7"/>
                <w:sz w:val="23"/>
                <w:szCs w:val="23"/>
                <w:rtl w:val="0"/>
              </w:rPr>
              <w:t>Do you want to know if an activity, assignment, or teaching strategy “works?”</w:t>
            </w:r>
          </w:p>
          <w:p>
            <w:pPr>
              <w:pageBreakBefore w:val="0"/>
              <w:spacing w:after="0" w:line="279" w:lineRule="auto"/>
              <w:ind w:left="160" w:firstLine="0"/>
              <w:rPr>
                <w:rFonts w:ascii="Calibri" w:hAnsi="Calibri" w:eastAsia="Calibri" w:cs="Calibri"/>
                <w:i/>
                <w:color w:val="B7B7B7"/>
                <w:sz w:val="23"/>
                <w:szCs w:val="23"/>
              </w:rPr>
            </w:pPr>
            <w:r>
              <w:rPr>
                <w:rFonts w:ascii="Calibri" w:hAnsi="Calibri" w:eastAsia="Calibri" w:cs="Calibri"/>
                <w:i/>
                <w:color w:val="B7B7B7"/>
                <w:sz w:val="23"/>
                <w:szCs w:val="23"/>
                <w:rtl w:val="0"/>
              </w:rPr>
              <w:t>Do you have a question about how to help your students learn a particular skill?</w:t>
            </w:r>
          </w:p>
          <w:p>
            <w:pPr>
              <w:pageBreakBefore w:val="0"/>
              <w:spacing w:after="0" w:line="279" w:lineRule="auto"/>
              <w:rPr>
                <w:rFonts w:ascii="Calibri" w:hAnsi="Calibri" w:eastAsia="Calibri" w:cs="Calibri"/>
                <w:sz w:val="24"/>
                <w:szCs w:val="24"/>
              </w:rPr>
            </w:pPr>
            <w:r>
              <w:rPr>
                <w:rFonts w:ascii="Calibri" w:hAnsi="Calibri" w:eastAsia="Calibri" w:cs="Calibri"/>
                <w:sz w:val="23"/>
                <w:szCs w:val="23"/>
                <w:rtl w:val="0"/>
              </w:rPr>
              <w:br w:type="textWrapping"/>
            </w:r>
            <w:r>
              <w:rPr>
                <w:rFonts w:hint="default" w:ascii="Calibri" w:hAnsi="Calibri" w:eastAsia="Calibri"/>
                <w:sz w:val="24"/>
                <w:szCs w:val="24"/>
                <w:rtl w:val="0"/>
              </w:rPr>
              <w:t>I am curious about effective teaching strategies that facilitate the integration of pharmacological management across different organ systems for patients living with multiple comorbidities. I would like to know how educators can overcome challenges associated with the traditional organ system-based approach to teaching pharmacology and whether innovative teaching methods or activities can enhance students' ability to apply their knowledge holistically. Additionally, I am interested in understanding if there are specific activities or assignments that have been proven to be successful in helping students grasp the interconnected nature of disease processes and pharmacodynamics.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075" w:hRule="atLeast"/>
        </w:trPr>
        <w:tc>
          <w:tcPr>
            <w:tcBorders>
              <w:left w:val="single" w:color="000000" w:sz="8" w:space="0"/>
              <w:bottom w:val="single" w:color="auto" w:sz="4" w:space="0"/>
              <w:right w:val="single" w:color="000000" w:sz="8" w:space="0"/>
            </w:tcBorders>
            <w:tcMar>
              <w:top w:w="100" w:type="dxa"/>
              <w:left w:w="100" w:type="dxa"/>
              <w:bottom w:w="100" w:type="dxa"/>
              <w:right w:w="100" w:type="dxa"/>
            </w:tcMar>
            <w:vAlign w:val="top"/>
          </w:tcPr>
          <w:p>
            <w:pPr>
              <w:pageBreakBefore w:val="0"/>
              <w:spacing w:before="80" w:line="306" w:lineRule="auto"/>
              <w:ind w:left="160" w:firstLine="0"/>
              <w:rPr>
                <w:rFonts w:ascii="Calibri" w:hAnsi="Calibri" w:eastAsia="Calibri" w:cs="Calibri"/>
                <w:sz w:val="23"/>
                <w:szCs w:val="23"/>
              </w:rPr>
            </w:pPr>
            <w:r>
              <w:rPr>
                <w:rFonts w:ascii="Calibri" w:hAnsi="Calibri" w:eastAsia="Calibri" w:cs="Calibri"/>
                <w:b/>
                <w:sz w:val="25"/>
                <w:szCs w:val="25"/>
                <w:rtl w:val="0"/>
              </w:rPr>
              <w:t>Identify challenge/outcome related to learning that is related to your question.</w:t>
            </w:r>
          </w:p>
          <w:p>
            <w:pPr>
              <w:pageBreakBefore w:val="0"/>
              <w:spacing w:after="200" w:line="280" w:lineRule="auto"/>
              <w:ind w:left="160" w:right="140" w:firstLine="0"/>
              <w:rPr>
                <w:rFonts w:ascii="Calibri" w:hAnsi="Calibri" w:eastAsia="Calibri" w:cs="Calibri"/>
                <w:i/>
                <w:color w:val="B7B7B7"/>
                <w:sz w:val="23"/>
                <w:szCs w:val="23"/>
              </w:rPr>
            </w:pPr>
            <w:r>
              <w:rPr>
                <w:rFonts w:ascii="Calibri" w:hAnsi="Calibri" w:eastAsia="Calibri" w:cs="Calibri"/>
                <w:i/>
                <w:color w:val="B7B7B7"/>
                <w:sz w:val="23"/>
                <w:szCs w:val="23"/>
                <w:rtl w:val="0"/>
              </w:rPr>
              <w:t>Describe the learning in a way that suggests how you might measure it using either qualitative or quantitative methods.</w:t>
            </w:r>
          </w:p>
          <w:p>
            <w:pPr>
              <w:pageBreakBefore w:val="0"/>
              <w:spacing w:after="200" w:line="280" w:lineRule="auto"/>
              <w:ind w:right="140"/>
              <w:rPr>
                <w:rFonts w:ascii="Calibri" w:hAnsi="Calibri" w:eastAsia="Calibri" w:cs="Calibri"/>
                <w:sz w:val="24"/>
                <w:szCs w:val="24"/>
              </w:rPr>
            </w:pPr>
            <w:r>
              <w:rPr>
                <w:rFonts w:hint="default" w:ascii="Calibri" w:hAnsi="Calibri" w:eastAsia="Calibri"/>
                <w:b w:val="0"/>
                <w:bCs/>
                <w:sz w:val="24"/>
                <w:szCs w:val="24"/>
                <w:rtl w:val="0"/>
              </w:rPr>
              <w:t>Employing a mixed-methods approach will yield comprehensive data on the effectiveness of integrating pharmacological management across organ systems. Qualitatively, comprehension will be assessed through clinical case studies and in-class discussions, complemented by student feedback collected in-person and through online Blackboard surveys. Quantitatively, pre- and post-assessment quizzes/tests will be utilized, and grades will be compared to performances from previous semesters.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86" w:hRule="atLeast"/>
        </w:trPr>
        <w:tc>
          <w:tcPr>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spacing w:after="200" w:line="280" w:lineRule="auto"/>
              <w:ind w:right="140"/>
              <w:rPr>
                <w:rFonts w:hint="default" w:ascii="Calibri" w:hAnsi="Calibri" w:eastAsia="SimSun" w:cs="Calibri"/>
                <w:b/>
                <w:bCs/>
                <w:i w:val="0"/>
                <w:iCs w:val="0"/>
                <w:color w:val="000000"/>
                <w:sz w:val="25"/>
                <w:szCs w:val="25"/>
                <w:u w:val="none"/>
                <w:vertAlign w:val="baseline"/>
                <w:lang w:val="en-US"/>
              </w:rPr>
            </w:pPr>
            <w:r>
              <w:rPr>
                <w:rFonts w:ascii="Calibri" w:hAnsi="Calibri" w:eastAsia="SimSun" w:cs="Calibri"/>
                <w:b/>
                <w:bCs/>
                <w:i w:val="0"/>
                <w:iCs w:val="0"/>
                <w:color w:val="000000"/>
                <w:sz w:val="25"/>
                <w:szCs w:val="25"/>
                <w:u w:val="none"/>
                <w:vertAlign w:val="baseline"/>
              </w:rPr>
              <w:t>Identify ethical considerations for this project</w:t>
            </w:r>
            <w:r>
              <w:rPr>
                <w:rFonts w:hint="default" w:ascii="Calibri" w:hAnsi="Calibri" w:eastAsia="SimSun" w:cs="Calibri"/>
                <w:b/>
                <w:bCs/>
                <w:i w:val="0"/>
                <w:iCs w:val="0"/>
                <w:color w:val="000000"/>
                <w:sz w:val="25"/>
                <w:szCs w:val="25"/>
                <w:u w:val="none"/>
                <w:vertAlign w:val="baseline"/>
                <w:lang w:val="en-US"/>
              </w:rPr>
              <w:t>:</w:t>
            </w:r>
          </w:p>
          <w:p>
            <w:pPr>
              <w:pageBreakBefore w:val="0"/>
              <w:numPr>
                <w:ilvl w:val="0"/>
                <w:numId w:val="1"/>
              </w:numPr>
              <w:spacing w:after="200" w:line="280" w:lineRule="auto"/>
              <w:ind w:right="140"/>
              <w:rPr>
                <w:rFonts w:hint="default" w:ascii="Calibri" w:hAnsi="Calibri" w:eastAsia="SimSun"/>
                <w:b/>
                <w:bCs/>
                <w:i w:val="0"/>
                <w:iCs w:val="0"/>
                <w:color w:val="000000"/>
                <w:sz w:val="24"/>
                <w:szCs w:val="24"/>
                <w:u w:val="none"/>
                <w:vertAlign w:val="baseline"/>
                <w:rtl w:val="0"/>
                <w:lang w:val="en-US"/>
              </w:rPr>
            </w:pPr>
            <w:r>
              <w:rPr>
                <w:rFonts w:hint="default" w:ascii="Calibri" w:hAnsi="Calibri" w:eastAsia="SimSun"/>
                <w:b/>
                <w:bCs/>
                <w:i w:val="0"/>
                <w:iCs w:val="0"/>
                <w:color w:val="000000"/>
                <w:sz w:val="24"/>
                <w:szCs w:val="24"/>
                <w:u w:val="none"/>
                <w:vertAlign w:val="baseline"/>
                <w:rtl w:val="0"/>
                <w:lang w:val="en-US"/>
              </w:rPr>
              <w:t>Informed Consent (if focus groups are being recruited):</w:t>
            </w:r>
          </w:p>
          <w:p>
            <w:pPr>
              <w:pageBreakBefore w:val="0"/>
              <w:spacing w:after="200" w:line="280" w:lineRule="auto"/>
              <w:ind w:right="140"/>
              <w:rPr>
                <w:rFonts w:hint="default" w:ascii="Calibri" w:hAnsi="Calibri" w:eastAsia="SimSun"/>
                <w:b w:val="0"/>
                <w:bCs w:val="0"/>
                <w:i w:val="0"/>
                <w:iCs w:val="0"/>
                <w:color w:val="000000"/>
                <w:sz w:val="24"/>
                <w:szCs w:val="24"/>
                <w:u w:val="none"/>
                <w:vertAlign w:val="baseline"/>
                <w:rtl w:val="0"/>
                <w:lang w:val="en-US"/>
              </w:rPr>
            </w:pPr>
            <w:r>
              <w:rPr>
                <w:rFonts w:hint="default" w:ascii="Calibri" w:hAnsi="Calibri" w:eastAsia="SimSun"/>
                <w:b w:val="0"/>
                <w:bCs w:val="0"/>
                <w:i w:val="0"/>
                <w:iCs w:val="0"/>
                <w:color w:val="000000"/>
                <w:sz w:val="24"/>
                <w:szCs w:val="24"/>
                <w:u w:val="none"/>
                <w:vertAlign w:val="baseline"/>
                <w:rtl w:val="0"/>
                <w:lang w:val="en-US"/>
              </w:rPr>
              <w:t>Clearly communicate the purpose, procedures, and potential risks and benefits of the project to participants. Ensure that they understand what is expected of them.</w:t>
            </w:r>
          </w:p>
          <w:p>
            <w:pPr>
              <w:pageBreakBefore w:val="0"/>
              <w:spacing w:after="200" w:line="280" w:lineRule="auto"/>
              <w:ind w:right="140"/>
              <w:rPr>
                <w:rFonts w:hint="default" w:ascii="Calibri" w:hAnsi="Calibri" w:eastAsia="SimSun"/>
                <w:b w:val="0"/>
                <w:bCs w:val="0"/>
                <w:i w:val="0"/>
                <w:iCs w:val="0"/>
                <w:color w:val="000000"/>
                <w:sz w:val="24"/>
                <w:szCs w:val="24"/>
                <w:u w:val="none"/>
                <w:vertAlign w:val="baseline"/>
                <w:rtl w:val="0"/>
                <w:lang w:val="en-US"/>
              </w:rPr>
            </w:pPr>
            <w:r>
              <w:rPr>
                <w:rFonts w:hint="default" w:ascii="Calibri" w:hAnsi="Calibri" w:eastAsia="SimSun"/>
                <w:b w:val="0"/>
                <w:bCs w:val="0"/>
                <w:i w:val="0"/>
                <w:iCs w:val="0"/>
                <w:color w:val="000000"/>
                <w:sz w:val="24"/>
                <w:szCs w:val="24"/>
                <w:u w:val="none"/>
                <w:vertAlign w:val="baseline"/>
                <w:rtl w:val="0"/>
                <w:lang w:val="en-US"/>
              </w:rPr>
              <w:t>Emphasize the voluntary nature of participation and reassure participants that their decision to participate or withdraw will not impact their academic standing.</w:t>
            </w:r>
          </w:p>
          <w:p>
            <w:pPr>
              <w:pageBreakBefore w:val="0"/>
              <w:spacing w:after="200" w:line="280" w:lineRule="auto"/>
              <w:ind w:right="140"/>
              <w:rPr>
                <w:rFonts w:hint="default" w:ascii="Calibri" w:hAnsi="Calibri" w:eastAsia="SimSun"/>
                <w:b w:val="0"/>
                <w:bCs w:val="0"/>
                <w:i w:val="0"/>
                <w:iCs w:val="0"/>
                <w:color w:val="000000"/>
                <w:sz w:val="24"/>
                <w:szCs w:val="24"/>
                <w:u w:val="none"/>
                <w:vertAlign w:val="baseline"/>
                <w:rtl w:val="0"/>
                <w:lang w:val="en-US"/>
              </w:rPr>
            </w:pPr>
            <w:r>
              <w:rPr>
                <w:rFonts w:hint="default" w:ascii="Calibri" w:hAnsi="Calibri" w:eastAsia="SimSun"/>
                <w:b w:val="0"/>
                <w:bCs w:val="0"/>
                <w:i w:val="0"/>
                <w:iCs w:val="0"/>
                <w:color w:val="000000"/>
                <w:sz w:val="24"/>
                <w:szCs w:val="24"/>
                <w:u w:val="none"/>
                <w:vertAlign w:val="baseline"/>
                <w:rtl w:val="0"/>
                <w:lang w:val="en-US"/>
              </w:rPr>
              <w:t>Obtain written consent from participants. Provide a consent form that outlines key information, and ensure participants have the opportunity to ask questions before agreeing to participate.</w:t>
            </w:r>
          </w:p>
          <w:p>
            <w:pPr>
              <w:pageBreakBefore w:val="0"/>
              <w:spacing w:after="200" w:line="280" w:lineRule="auto"/>
              <w:ind w:right="140"/>
              <w:rPr>
                <w:rFonts w:hint="default" w:ascii="Calibri" w:hAnsi="Calibri" w:eastAsia="SimSun"/>
                <w:b w:val="0"/>
                <w:bCs w:val="0"/>
                <w:i w:val="0"/>
                <w:iCs w:val="0"/>
                <w:color w:val="000000"/>
                <w:sz w:val="24"/>
                <w:szCs w:val="24"/>
                <w:u w:val="none"/>
                <w:vertAlign w:val="baseline"/>
                <w:rtl w:val="0"/>
                <w:lang w:val="en-US"/>
              </w:rPr>
            </w:pPr>
          </w:p>
          <w:p>
            <w:pPr>
              <w:pageBreakBefore w:val="0"/>
              <w:numPr>
                <w:ilvl w:val="0"/>
                <w:numId w:val="1"/>
              </w:numPr>
              <w:spacing w:after="200" w:line="280" w:lineRule="auto"/>
              <w:ind w:left="0" w:leftChars="0" w:right="140" w:firstLine="0" w:firstLineChars="0"/>
              <w:rPr>
                <w:rFonts w:hint="default" w:ascii="Calibri" w:hAnsi="Calibri" w:eastAsia="SimSun"/>
                <w:b/>
                <w:bCs/>
                <w:i w:val="0"/>
                <w:iCs w:val="0"/>
                <w:color w:val="000000"/>
                <w:sz w:val="24"/>
                <w:szCs w:val="24"/>
                <w:u w:val="none"/>
                <w:vertAlign w:val="baseline"/>
                <w:rtl w:val="0"/>
                <w:lang w:val="en-US"/>
              </w:rPr>
            </w:pPr>
            <w:r>
              <w:rPr>
                <w:rFonts w:hint="default" w:ascii="Calibri" w:hAnsi="Calibri" w:eastAsia="SimSun"/>
                <w:b/>
                <w:bCs/>
                <w:i w:val="0"/>
                <w:iCs w:val="0"/>
                <w:color w:val="000000"/>
                <w:sz w:val="24"/>
                <w:szCs w:val="24"/>
                <w:u w:val="none"/>
                <w:vertAlign w:val="baseline"/>
                <w:rtl w:val="0"/>
                <w:lang w:val="en-US"/>
              </w:rPr>
              <w:t>Information Accessibility:</w:t>
            </w:r>
          </w:p>
          <w:p>
            <w:pPr>
              <w:pageBreakBefore w:val="0"/>
              <w:spacing w:after="200" w:line="280" w:lineRule="auto"/>
              <w:ind w:right="140"/>
              <w:rPr>
                <w:rFonts w:hint="default" w:ascii="Calibri" w:hAnsi="Calibri" w:eastAsia="SimSun"/>
                <w:b w:val="0"/>
                <w:bCs w:val="0"/>
                <w:i w:val="0"/>
                <w:iCs w:val="0"/>
                <w:color w:val="000000"/>
                <w:sz w:val="24"/>
                <w:szCs w:val="24"/>
                <w:u w:val="none"/>
                <w:vertAlign w:val="baseline"/>
                <w:rtl w:val="0"/>
                <w:lang w:val="en-US"/>
              </w:rPr>
            </w:pPr>
            <w:r>
              <w:rPr>
                <w:rFonts w:hint="default" w:ascii="Calibri" w:hAnsi="Calibri" w:eastAsia="SimSun"/>
                <w:b w:val="0"/>
                <w:bCs w:val="0"/>
                <w:i w:val="0"/>
                <w:iCs w:val="0"/>
                <w:color w:val="000000"/>
                <w:sz w:val="24"/>
                <w:szCs w:val="24"/>
                <w:u w:val="none"/>
                <w:vertAlign w:val="baseline"/>
                <w:rtl w:val="0"/>
                <w:lang w:val="en-US"/>
              </w:rPr>
              <w:t>Make sure that all relevant information about the project is easily accessible to participants. This could include sharing details in class, providing written materials, or utilizing online platforms.</w:t>
            </w:r>
          </w:p>
          <w:p>
            <w:pPr>
              <w:pageBreakBefore w:val="0"/>
              <w:numPr>
                <w:ilvl w:val="0"/>
                <w:numId w:val="1"/>
              </w:numPr>
              <w:spacing w:after="200" w:line="280" w:lineRule="auto"/>
              <w:ind w:left="0" w:leftChars="0" w:right="140" w:firstLine="0" w:firstLineChars="0"/>
              <w:rPr>
                <w:rFonts w:hint="default" w:ascii="Calibri" w:hAnsi="Calibri" w:eastAsia="SimSun"/>
                <w:b/>
                <w:bCs/>
                <w:i w:val="0"/>
                <w:iCs w:val="0"/>
                <w:color w:val="000000"/>
                <w:sz w:val="24"/>
                <w:szCs w:val="24"/>
                <w:u w:val="none"/>
                <w:vertAlign w:val="baseline"/>
                <w:rtl w:val="0"/>
                <w:lang w:val="en-US"/>
              </w:rPr>
            </w:pPr>
            <w:r>
              <w:rPr>
                <w:rFonts w:hint="default" w:ascii="Calibri" w:hAnsi="Calibri" w:eastAsia="SimSun"/>
                <w:b/>
                <w:bCs/>
                <w:i w:val="0"/>
                <w:iCs w:val="0"/>
                <w:color w:val="000000"/>
                <w:sz w:val="24"/>
                <w:szCs w:val="24"/>
                <w:u w:val="none"/>
                <w:vertAlign w:val="baseline"/>
                <w:rtl w:val="0"/>
                <w:lang w:val="en-US"/>
              </w:rPr>
              <w:t>Confidentiality:</w:t>
            </w:r>
          </w:p>
          <w:p>
            <w:pPr>
              <w:pageBreakBefore w:val="0"/>
              <w:spacing w:after="200" w:line="280" w:lineRule="auto"/>
              <w:ind w:right="140"/>
              <w:rPr>
                <w:rFonts w:hint="default" w:ascii="Calibri" w:hAnsi="Calibri" w:eastAsia="SimSun"/>
                <w:b w:val="0"/>
                <w:bCs w:val="0"/>
                <w:i w:val="0"/>
                <w:iCs w:val="0"/>
                <w:color w:val="000000"/>
                <w:sz w:val="24"/>
                <w:szCs w:val="24"/>
                <w:u w:val="none"/>
                <w:vertAlign w:val="baseline"/>
                <w:rtl w:val="0"/>
                <w:lang w:val="en-US"/>
              </w:rPr>
            </w:pPr>
            <w:r>
              <w:rPr>
                <w:rFonts w:hint="default" w:ascii="Calibri" w:hAnsi="Calibri" w:eastAsia="SimSun"/>
                <w:b w:val="0"/>
                <w:bCs w:val="0"/>
                <w:i w:val="0"/>
                <w:iCs w:val="0"/>
                <w:color w:val="000000"/>
                <w:sz w:val="24"/>
                <w:szCs w:val="24"/>
                <w:u w:val="none"/>
                <w:vertAlign w:val="baseline"/>
                <w:rtl w:val="0"/>
                <w:lang w:val="en-US"/>
              </w:rPr>
              <w:t>Anonymize data at the point of collection. Ensure that responses and performance data are aggregated and cannot be linked to individual participants.</w:t>
            </w:r>
          </w:p>
          <w:p>
            <w:pPr>
              <w:pageBreakBefore w:val="0"/>
              <w:spacing w:after="200" w:line="280" w:lineRule="auto"/>
              <w:ind w:right="140"/>
              <w:rPr>
                <w:rFonts w:hint="default" w:ascii="Calibri" w:hAnsi="Calibri" w:eastAsia="SimSun"/>
                <w:b w:val="0"/>
                <w:bCs w:val="0"/>
                <w:i w:val="0"/>
                <w:iCs w:val="0"/>
                <w:color w:val="000000"/>
                <w:sz w:val="24"/>
                <w:szCs w:val="24"/>
                <w:u w:val="none"/>
                <w:vertAlign w:val="baseline"/>
                <w:rtl w:val="0"/>
                <w:lang w:val="en-US"/>
              </w:rPr>
            </w:pPr>
            <w:r>
              <w:rPr>
                <w:rFonts w:hint="default" w:ascii="Calibri" w:hAnsi="Calibri" w:eastAsia="SimSun"/>
                <w:b w:val="0"/>
                <w:bCs w:val="0"/>
                <w:i w:val="0"/>
                <w:iCs w:val="0"/>
                <w:color w:val="000000"/>
                <w:sz w:val="24"/>
                <w:szCs w:val="24"/>
                <w:u w:val="none"/>
                <w:vertAlign w:val="baseline"/>
                <w:rtl w:val="0"/>
                <w:lang w:val="en-US"/>
              </w:rPr>
              <w:t>Restrict access to identifiable information. Only individuals who need to analyze the data should have access to personally identifiable details.</w:t>
            </w:r>
          </w:p>
          <w:p>
            <w:pPr>
              <w:pageBreakBefore w:val="0"/>
              <w:numPr>
                <w:ilvl w:val="0"/>
                <w:numId w:val="1"/>
              </w:numPr>
              <w:spacing w:after="200" w:line="280" w:lineRule="auto"/>
              <w:ind w:left="0" w:leftChars="0" w:right="140" w:firstLine="0" w:firstLineChars="0"/>
              <w:rPr>
                <w:rFonts w:hint="default" w:ascii="Calibri" w:hAnsi="Calibri" w:eastAsia="SimSun"/>
                <w:b/>
                <w:bCs/>
                <w:i w:val="0"/>
                <w:iCs w:val="0"/>
                <w:color w:val="000000"/>
                <w:sz w:val="24"/>
                <w:szCs w:val="24"/>
                <w:u w:val="none"/>
                <w:vertAlign w:val="baseline"/>
                <w:rtl w:val="0"/>
                <w:lang w:val="en-US"/>
              </w:rPr>
            </w:pPr>
            <w:r>
              <w:rPr>
                <w:rFonts w:hint="default" w:ascii="Calibri" w:hAnsi="Calibri" w:eastAsia="SimSun"/>
                <w:b/>
                <w:bCs/>
                <w:i w:val="0"/>
                <w:iCs w:val="0"/>
                <w:color w:val="000000"/>
                <w:sz w:val="24"/>
                <w:szCs w:val="24"/>
                <w:u w:val="none"/>
                <w:vertAlign w:val="baseline"/>
                <w:rtl w:val="0"/>
                <w:lang w:val="en-US"/>
              </w:rPr>
              <w:t>Voluntary Participation:</w:t>
            </w:r>
          </w:p>
          <w:p>
            <w:pPr>
              <w:pageBreakBefore w:val="0"/>
              <w:spacing w:after="200" w:line="280" w:lineRule="auto"/>
              <w:ind w:right="140"/>
              <w:rPr>
                <w:rFonts w:hint="default" w:ascii="Calibri" w:hAnsi="Calibri" w:eastAsia="SimSun"/>
                <w:b w:val="0"/>
                <w:bCs w:val="0"/>
                <w:i w:val="0"/>
                <w:iCs w:val="0"/>
                <w:color w:val="000000"/>
                <w:sz w:val="24"/>
                <w:szCs w:val="24"/>
                <w:u w:val="none"/>
                <w:vertAlign w:val="baseline"/>
                <w:rtl w:val="0"/>
                <w:lang w:val="en-US"/>
              </w:rPr>
            </w:pPr>
            <w:r>
              <w:rPr>
                <w:rFonts w:hint="default" w:ascii="Calibri" w:hAnsi="Calibri" w:eastAsia="SimSun"/>
                <w:b w:val="0"/>
                <w:bCs w:val="0"/>
                <w:i w:val="0"/>
                <w:iCs w:val="0"/>
                <w:color w:val="000000"/>
                <w:sz w:val="24"/>
                <w:szCs w:val="24"/>
                <w:u w:val="none"/>
                <w:vertAlign w:val="baseline"/>
                <w:rtl w:val="0"/>
                <w:lang w:val="en-US"/>
              </w:rPr>
              <w:t>Present the project in a neutral manner, emphasizing that participation is voluntary and will not influence academic outcomes. Avoid language that may pressure students to participate.</w:t>
            </w:r>
          </w:p>
          <w:p>
            <w:pPr>
              <w:pageBreakBefore w:val="0"/>
              <w:spacing w:after="200" w:line="280" w:lineRule="auto"/>
              <w:ind w:right="140"/>
              <w:rPr>
                <w:rFonts w:hint="default" w:ascii="Calibri" w:hAnsi="Calibri" w:eastAsia="SimSun"/>
                <w:b w:val="0"/>
                <w:bCs w:val="0"/>
                <w:i w:val="0"/>
                <w:iCs w:val="0"/>
                <w:color w:val="000000"/>
                <w:sz w:val="24"/>
                <w:szCs w:val="24"/>
                <w:u w:val="none"/>
                <w:vertAlign w:val="baseline"/>
                <w:rtl w:val="0"/>
                <w:lang w:val="en-US"/>
              </w:rPr>
            </w:pPr>
            <w:r>
              <w:rPr>
                <w:rFonts w:hint="default" w:ascii="Calibri" w:hAnsi="Calibri" w:eastAsia="SimSun"/>
                <w:b w:val="0"/>
                <w:bCs w:val="0"/>
                <w:i w:val="0"/>
                <w:iCs w:val="0"/>
                <w:color w:val="000000"/>
                <w:sz w:val="24"/>
                <w:szCs w:val="24"/>
                <w:u w:val="none"/>
                <w:vertAlign w:val="baseline"/>
                <w:rtl w:val="0"/>
                <w:lang w:val="en-US"/>
              </w:rPr>
              <w:t>Clearly communicate that there will be no negative consequences for students who choose not to participate. Assure them that their decision will not impact grades or class standing.</w:t>
            </w:r>
          </w:p>
          <w:p>
            <w:pPr>
              <w:pageBreakBefore w:val="0"/>
              <w:spacing w:after="200" w:line="280" w:lineRule="auto"/>
              <w:ind w:right="140"/>
              <w:rPr>
                <w:rFonts w:hint="default" w:ascii="Calibri" w:hAnsi="Calibri" w:eastAsia="SimSun" w:cs="Calibri"/>
                <w:b/>
                <w:bCs/>
                <w:i w:val="0"/>
                <w:iCs w:val="0"/>
                <w:color w:val="000000"/>
                <w:sz w:val="25"/>
                <w:szCs w:val="25"/>
                <w:u w:val="none"/>
                <w:vertAlign w:val="baseline"/>
                <w:rtl w:val="0"/>
                <w:lang w:val="en-US"/>
              </w:rPr>
            </w:pPr>
            <w:r>
              <w:rPr>
                <w:rFonts w:hint="default" w:ascii="Calibri" w:hAnsi="Calibri" w:eastAsia="SimSun"/>
                <w:b w:val="0"/>
                <w:bCs w:val="0"/>
                <w:i w:val="0"/>
                <w:iCs w:val="0"/>
                <w:color w:val="000000"/>
                <w:sz w:val="24"/>
                <w:szCs w:val="24"/>
                <w:u w:val="none"/>
                <w:vertAlign w:val="baseline"/>
                <w:rtl w:val="0"/>
                <w:lang w:val="en-US"/>
              </w:rPr>
              <w:t>Throughout the project, reiterate the voluntary nature of participation. Regularly remind participants that they are free to withdraw from the project at any point without facing repercussions.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92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spacing w:before="80" w:line="306" w:lineRule="auto"/>
              <w:ind w:left="160" w:right="400" w:firstLine="0"/>
              <w:rPr>
                <w:rFonts w:ascii="Calibri" w:hAnsi="Calibri" w:eastAsia="Calibri" w:cs="Calibri"/>
                <w:b/>
                <w:sz w:val="25"/>
                <w:szCs w:val="25"/>
              </w:rPr>
            </w:pPr>
            <w:r>
              <w:rPr>
                <w:rFonts w:ascii="Calibri" w:hAnsi="Calibri" w:eastAsia="Calibri" w:cs="Calibri"/>
                <w:b/>
                <w:sz w:val="25"/>
                <w:szCs w:val="25"/>
                <w:rtl w:val="0"/>
              </w:rPr>
              <w:t>Describe the instructional activity, assignment, or teaching strategy that will promote student learning on the outcome you identified.</w:t>
            </w:r>
          </w:p>
          <w:p>
            <w:pPr>
              <w:pageBreakBefore w:val="0"/>
              <w:spacing w:after="0" w:line="280" w:lineRule="auto"/>
              <w:ind w:left="160" w:right="140" w:firstLine="0"/>
              <w:rPr>
                <w:rFonts w:ascii="Calibri" w:hAnsi="Calibri" w:eastAsia="Calibri" w:cs="Calibri"/>
                <w:i/>
                <w:color w:val="B7B7B7"/>
                <w:sz w:val="23"/>
                <w:szCs w:val="23"/>
              </w:rPr>
            </w:pPr>
            <w:r>
              <w:rPr>
                <w:rFonts w:ascii="Calibri" w:hAnsi="Calibri" w:eastAsia="Calibri" w:cs="Calibri"/>
                <w:i/>
                <w:color w:val="B7B7B7"/>
                <w:sz w:val="23"/>
                <w:szCs w:val="23"/>
                <w:rtl w:val="0"/>
              </w:rPr>
              <w:t>SoTL projects might investigate the impact of a modification to an existing strategy or assignment. Describe how the new approach differs from the old approach and why this modification might change student learning on this outcome.</w:t>
            </w:r>
          </w:p>
          <w:p>
            <w:pPr>
              <w:pageBreakBefore w:val="0"/>
              <w:spacing w:after="0" w:line="280" w:lineRule="auto"/>
              <w:ind w:left="160" w:right="140" w:firstLine="0"/>
              <w:rPr>
                <w:rFonts w:ascii="Calibri" w:hAnsi="Calibri" w:eastAsia="Calibri" w:cs="Calibri"/>
                <w:sz w:val="23"/>
                <w:szCs w:val="23"/>
              </w:rPr>
            </w:pP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To address the challenges associated with the traditionally organ system-based approach to teaching pharmacology and improve student learning outcomes, a SoTL (Scholarship of Teaching and Learning) project could be designed to investigate the impact of a modified teaching strategy.</w:t>
            </w:r>
          </w:p>
          <w:p>
            <w:pPr>
              <w:pageBreakBefore w:val="0"/>
              <w:spacing w:after="0" w:line="280" w:lineRule="auto"/>
              <w:ind w:left="160" w:right="140" w:firstLine="0"/>
              <w:rPr>
                <w:rFonts w:hint="default" w:ascii="Calibri" w:hAnsi="Calibri" w:eastAsia="Calibri"/>
                <w:sz w:val="24"/>
                <w:szCs w:val="24"/>
                <w:rtl w:val="0"/>
              </w:rPr>
            </w:pPr>
          </w:p>
          <w:p>
            <w:pPr>
              <w:pageBreakBefore w:val="0"/>
              <w:spacing w:after="0" w:line="280" w:lineRule="auto"/>
              <w:ind w:left="160" w:right="140" w:firstLine="0"/>
              <w:rPr>
                <w:rFonts w:hint="default" w:ascii="Calibri" w:hAnsi="Calibri" w:eastAsia="Calibri"/>
                <w:b/>
                <w:bCs/>
                <w:sz w:val="24"/>
                <w:szCs w:val="24"/>
                <w:rtl w:val="0"/>
              </w:rPr>
            </w:pPr>
            <w:r>
              <w:rPr>
                <w:rFonts w:hint="default" w:ascii="Calibri" w:hAnsi="Calibri" w:eastAsia="Calibri"/>
                <w:b/>
                <w:bCs/>
                <w:sz w:val="24"/>
                <w:szCs w:val="24"/>
                <w:rtl w:val="0"/>
              </w:rPr>
              <w:t>Old Approach:</w:t>
            </w: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The traditional organ system-based approach involves teaching pharmacology by focusing on individual organ systems, which might contribute to students memorizing medications and mechanisms of action in isolation. This approach may not effectively promote the integration of pharmacological management across different organ systems and hinder students from making connections to real-life clinical scenarios where holistic patient care is essential.</w:t>
            </w:r>
          </w:p>
          <w:p>
            <w:pPr>
              <w:pageBreakBefore w:val="0"/>
              <w:spacing w:after="0" w:line="280" w:lineRule="auto"/>
              <w:ind w:left="160" w:right="140" w:firstLine="0"/>
              <w:rPr>
                <w:rFonts w:hint="default" w:ascii="Calibri" w:hAnsi="Calibri" w:eastAsia="Calibri"/>
                <w:sz w:val="24"/>
                <w:szCs w:val="24"/>
                <w:rtl w:val="0"/>
              </w:rPr>
            </w:pPr>
          </w:p>
          <w:p>
            <w:pPr>
              <w:pageBreakBefore w:val="0"/>
              <w:spacing w:after="0" w:line="280" w:lineRule="auto"/>
              <w:ind w:left="160" w:right="140" w:firstLine="0"/>
              <w:rPr>
                <w:rFonts w:hint="default" w:ascii="Calibri" w:hAnsi="Calibri" w:eastAsia="Calibri"/>
                <w:b/>
                <w:bCs/>
                <w:sz w:val="24"/>
                <w:szCs w:val="24"/>
                <w:rtl w:val="0"/>
              </w:rPr>
            </w:pPr>
            <w:r>
              <w:rPr>
                <w:rFonts w:hint="default" w:ascii="Calibri" w:hAnsi="Calibri" w:eastAsia="Calibri"/>
                <w:b/>
                <w:bCs/>
                <w:sz w:val="24"/>
                <w:szCs w:val="24"/>
                <w:rtl w:val="0"/>
              </w:rPr>
              <w:t>New Approach:</w:t>
            </w: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The modified approach would involve restructuring the curriculum to emphasize interconnectedness and real-world applications. Here are key modifications:</w:t>
            </w:r>
          </w:p>
          <w:p>
            <w:pPr>
              <w:pageBreakBefore w:val="0"/>
              <w:spacing w:after="0" w:line="280" w:lineRule="auto"/>
              <w:ind w:left="160" w:right="140" w:firstLine="0"/>
              <w:rPr>
                <w:rFonts w:hint="default" w:ascii="Calibri" w:hAnsi="Calibri" w:eastAsia="Calibri"/>
                <w:sz w:val="24"/>
                <w:szCs w:val="24"/>
                <w:rtl w:val="0"/>
              </w:rPr>
            </w:pPr>
          </w:p>
          <w:p>
            <w:pPr>
              <w:pageBreakBefore w:val="0"/>
              <w:numPr>
                <w:ilvl w:val="0"/>
                <w:numId w:val="2"/>
              </w:numPr>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Integrated Case Studies:</w:t>
            </w: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Incorporate case studies that span multiple organ systems, requiring students to apply their pharmacological knowledge in a holistic manner.</w:t>
            </w: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Emphasize patient-centered care scenarios to bridge the gap between memorization and practical application.</w:t>
            </w:r>
          </w:p>
          <w:p>
            <w:pPr>
              <w:pageBreakBefore w:val="0"/>
              <w:spacing w:after="0" w:line="280" w:lineRule="auto"/>
              <w:ind w:left="160" w:right="140" w:firstLine="0"/>
              <w:rPr>
                <w:rFonts w:hint="default" w:ascii="Calibri" w:hAnsi="Calibri" w:eastAsia="Calibri"/>
                <w:sz w:val="24"/>
                <w:szCs w:val="24"/>
                <w:rtl w:val="0"/>
              </w:rPr>
            </w:pPr>
          </w:p>
          <w:p>
            <w:pPr>
              <w:pageBreakBefore w:val="0"/>
              <w:numPr>
                <w:ilvl w:val="0"/>
                <w:numId w:val="2"/>
              </w:numPr>
              <w:spacing w:after="0" w:line="280" w:lineRule="auto"/>
              <w:ind w:left="160" w:leftChars="0" w:right="140" w:firstLine="0" w:firstLineChars="0"/>
              <w:rPr>
                <w:rFonts w:hint="default" w:ascii="Calibri" w:hAnsi="Calibri" w:eastAsia="Calibri"/>
                <w:sz w:val="24"/>
                <w:szCs w:val="24"/>
                <w:rtl w:val="0"/>
              </w:rPr>
            </w:pPr>
            <w:r>
              <w:rPr>
                <w:rFonts w:hint="default" w:ascii="Calibri" w:hAnsi="Calibri" w:eastAsia="Calibri"/>
                <w:sz w:val="24"/>
                <w:szCs w:val="24"/>
                <w:rtl w:val="0"/>
              </w:rPr>
              <w:t>Problem-Based Learning (PBL):</w:t>
            </w: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Implement PBL sessions where students work collaboratively to solve patient care problems.</w:t>
            </w: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Present scenarios that necessitate an understanding of pharmacology across various organ systems to encourage a holistic approach.</w:t>
            </w:r>
          </w:p>
          <w:p>
            <w:pPr>
              <w:pageBreakBefore w:val="0"/>
              <w:spacing w:after="0" w:line="280" w:lineRule="auto"/>
              <w:ind w:left="160" w:right="140" w:firstLine="0"/>
              <w:rPr>
                <w:rFonts w:hint="default" w:ascii="Calibri" w:hAnsi="Calibri" w:eastAsia="Calibri"/>
                <w:sz w:val="24"/>
                <w:szCs w:val="24"/>
                <w:rtl w:val="0"/>
              </w:rPr>
            </w:pPr>
          </w:p>
          <w:p>
            <w:pPr>
              <w:pageBreakBefore w:val="0"/>
              <w:spacing w:after="0" w:line="280" w:lineRule="auto"/>
              <w:ind w:left="160" w:right="140" w:firstLine="0"/>
              <w:rPr>
                <w:rFonts w:hint="default" w:ascii="Calibri" w:hAnsi="Calibri" w:eastAsia="Calibri"/>
                <w:b/>
                <w:bCs/>
                <w:sz w:val="24"/>
                <w:szCs w:val="24"/>
                <w:rtl w:val="0"/>
              </w:rPr>
            </w:pPr>
            <w:r>
              <w:rPr>
                <w:rFonts w:hint="default" w:ascii="Calibri" w:hAnsi="Calibri" w:eastAsia="Calibri"/>
                <w:b/>
                <w:bCs/>
                <w:sz w:val="24"/>
                <w:szCs w:val="24"/>
                <w:rtl w:val="0"/>
              </w:rPr>
              <w:t>Rationale for Modification:</w:t>
            </w:r>
          </w:p>
          <w:p>
            <w:pPr>
              <w:pageBreakBefore w:val="0"/>
              <w:spacing w:after="0" w:line="280" w:lineRule="auto"/>
              <w:ind w:left="160" w:right="140" w:firstLine="0"/>
              <w:rPr>
                <w:rFonts w:ascii="Calibri" w:hAnsi="Calibri" w:eastAsia="Calibri" w:cs="Calibri"/>
                <w:sz w:val="24"/>
                <w:szCs w:val="24"/>
              </w:rPr>
            </w:pPr>
            <w:r>
              <w:rPr>
                <w:rFonts w:hint="default" w:ascii="Calibri" w:hAnsi="Calibri" w:eastAsia="Calibri"/>
                <w:sz w:val="24"/>
                <w:szCs w:val="24"/>
                <w:rtl w:val="0"/>
              </w:rPr>
              <w:t>The modification aims to address the identified issues contributing to the high failure rate in the pharmacology course. By shifting the focus from isolated organ systems to interconnected patient care scenarios, the new approach seeks to engage students in a more meaningful way. Emphasizing real-world applications and active learning strategies is expected to enhance students' ability to apply their knowledge holistically, moving beyond rote memorization to a deeper understanding of pharmacology in the context of comprehensive patient care. The ultimate goal is to improve learning outcomes and reduce the failure rate by promoting a more integrated and clinically relevant approach to pharmacology education.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92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spacing w:before="80" w:line="306" w:lineRule="auto"/>
              <w:ind w:left="160" w:right="800" w:firstLine="0"/>
              <w:rPr>
                <w:rFonts w:ascii="Calibri" w:hAnsi="Calibri" w:eastAsia="Calibri" w:cs="Calibri"/>
                <w:b/>
                <w:sz w:val="25"/>
                <w:szCs w:val="25"/>
              </w:rPr>
            </w:pPr>
            <w:r>
              <w:rPr>
                <w:rFonts w:ascii="Calibri" w:hAnsi="Calibri" w:eastAsia="Calibri" w:cs="Calibri"/>
                <w:b/>
                <w:sz w:val="25"/>
                <w:szCs w:val="25"/>
                <w:rtl w:val="0"/>
              </w:rPr>
              <w:t>Describe the evidence that would persuade an external audience that the new or modified teaching strategy improves student learning on the targeted learning outcome.</w:t>
            </w:r>
          </w:p>
          <w:p>
            <w:pPr>
              <w:pageBreakBefore w:val="0"/>
              <w:spacing w:after="0" w:line="280" w:lineRule="auto"/>
              <w:ind w:left="160" w:right="180" w:firstLine="0"/>
              <w:rPr>
                <w:rFonts w:ascii="Calibri" w:hAnsi="Calibri" w:eastAsia="Calibri" w:cs="Calibri"/>
                <w:i/>
                <w:color w:val="B7B7B7"/>
                <w:sz w:val="23"/>
                <w:szCs w:val="23"/>
              </w:rPr>
            </w:pPr>
            <w:r>
              <w:rPr>
                <w:rFonts w:ascii="Calibri" w:hAnsi="Calibri" w:eastAsia="Calibri" w:cs="Calibri"/>
                <w:i/>
                <w:color w:val="B7B7B7"/>
                <w:sz w:val="23"/>
                <w:szCs w:val="23"/>
                <w:rtl w:val="0"/>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pPr>
              <w:pageBreakBefore w:val="0"/>
              <w:spacing w:after="0" w:line="280" w:lineRule="auto"/>
              <w:ind w:left="160" w:right="180" w:firstLine="0"/>
              <w:rPr>
                <w:rFonts w:ascii="Calibri" w:hAnsi="Calibri" w:eastAsia="Calibri" w:cs="Calibri"/>
                <w:sz w:val="23"/>
                <w:szCs w:val="23"/>
              </w:rPr>
            </w:pPr>
          </w:p>
          <w:p>
            <w:pPr>
              <w:pageBreakBefore w:val="0"/>
              <w:numPr>
                <w:ilvl w:val="0"/>
                <w:numId w:val="0"/>
              </w:numPr>
              <w:spacing w:after="0" w:line="280" w:lineRule="auto"/>
              <w:ind w:right="180" w:rightChars="0"/>
              <w:rPr>
                <w:rFonts w:hint="default" w:ascii="Calibri" w:hAnsi="Calibri" w:eastAsia="Calibri"/>
                <w:sz w:val="24"/>
                <w:szCs w:val="24"/>
                <w:rtl w:val="0"/>
              </w:rPr>
            </w:pPr>
            <w:r>
              <w:rPr>
                <w:rFonts w:hint="default" w:ascii="Calibri" w:hAnsi="Calibri" w:eastAsia="Calibri"/>
                <w:sz w:val="24"/>
                <w:szCs w:val="24"/>
                <w:rtl w:val="0"/>
              </w:rPr>
              <w:t>To assess the impact and value of the modified teaching strategy, you would need to collect both quantitative and qualitative evidence. Here's a breakdown of the types of evidence you might want to consider:</w:t>
            </w:r>
          </w:p>
          <w:p>
            <w:pPr>
              <w:pageBreakBefore w:val="0"/>
              <w:numPr>
                <w:ilvl w:val="0"/>
                <w:numId w:val="0"/>
              </w:numPr>
              <w:spacing w:after="0" w:line="280" w:lineRule="auto"/>
              <w:ind w:right="180" w:rightChars="0"/>
              <w:rPr>
                <w:rFonts w:hint="default" w:ascii="Calibri" w:hAnsi="Calibri" w:eastAsia="Calibri"/>
                <w:sz w:val="24"/>
                <w:szCs w:val="24"/>
                <w:rtl w:val="0"/>
              </w:rPr>
            </w:pPr>
          </w:p>
          <w:p>
            <w:pPr>
              <w:pageBreakBefore w:val="0"/>
              <w:numPr>
                <w:ilvl w:val="0"/>
                <w:numId w:val="0"/>
              </w:numPr>
              <w:spacing w:after="0" w:line="280" w:lineRule="auto"/>
              <w:ind w:right="180" w:rightChars="0"/>
              <w:rPr>
                <w:rFonts w:hint="default" w:ascii="Calibri" w:hAnsi="Calibri" w:eastAsia="Calibri"/>
                <w:b/>
                <w:bCs/>
                <w:sz w:val="24"/>
                <w:szCs w:val="24"/>
                <w:rtl w:val="0"/>
              </w:rPr>
            </w:pPr>
            <w:r>
              <w:rPr>
                <w:rFonts w:hint="default" w:ascii="Calibri" w:hAnsi="Calibri" w:eastAsia="Calibri"/>
                <w:b/>
                <w:bCs/>
                <w:sz w:val="24"/>
                <w:szCs w:val="24"/>
                <w:rtl w:val="0"/>
                <w:lang w:val="en-US"/>
              </w:rPr>
              <w:t>Objective</w:t>
            </w:r>
            <w:r>
              <w:rPr>
                <w:rFonts w:hint="default" w:ascii="Calibri" w:hAnsi="Calibri" w:eastAsia="Calibri"/>
                <w:b/>
                <w:bCs/>
                <w:sz w:val="24"/>
                <w:szCs w:val="24"/>
                <w:rtl w:val="0"/>
              </w:rPr>
              <w:t xml:space="preserve"> </w:t>
            </w:r>
            <w:r>
              <w:rPr>
                <w:rFonts w:hint="default" w:ascii="Calibri" w:hAnsi="Calibri" w:eastAsia="Calibri"/>
                <w:b/>
                <w:bCs/>
                <w:sz w:val="24"/>
                <w:szCs w:val="24"/>
                <w:rtl w:val="0"/>
                <w:lang w:val="en-US"/>
              </w:rPr>
              <w:t>Measures</w:t>
            </w:r>
            <w:r>
              <w:rPr>
                <w:rFonts w:hint="default" w:ascii="Calibri" w:hAnsi="Calibri" w:eastAsia="Calibri"/>
                <w:b/>
                <w:bCs/>
                <w:sz w:val="24"/>
                <w:szCs w:val="24"/>
                <w:rtl w:val="0"/>
              </w:rPr>
              <w:t>:</w:t>
            </w:r>
          </w:p>
          <w:p>
            <w:pPr>
              <w:pageBreakBefore w:val="0"/>
              <w:numPr>
                <w:ilvl w:val="0"/>
                <w:numId w:val="0"/>
              </w:numPr>
              <w:spacing w:after="0" w:line="280" w:lineRule="auto"/>
              <w:ind w:right="180" w:rightChars="0"/>
              <w:rPr>
                <w:rFonts w:hint="default" w:ascii="Calibri" w:hAnsi="Calibri" w:eastAsia="Calibri"/>
                <w:sz w:val="24"/>
                <w:szCs w:val="24"/>
                <w:rtl w:val="0"/>
              </w:rPr>
            </w:pPr>
          </w:p>
          <w:p>
            <w:pPr>
              <w:pageBreakBefore w:val="0"/>
              <w:numPr>
                <w:ilvl w:val="0"/>
                <w:numId w:val="3"/>
              </w:numPr>
              <w:spacing w:after="0" w:line="280" w:lineRule="auto"/>
              <w:ind w:right="180" w:rightChars="0"/>
              <w:rPr>
                <w:rFonts w:hint="default" w:ascii="Calibri" w:hAnsi="Calibri" w:eastAsia="Calibri"/>
                <w:sz w:val="24"/>
                <w:szCs w:val="24"/>
                <w:rtl w:val="0"/>
              </w:rPr>
            </w:pPr>
            <w:r>
              <w:rPr>
                <w:rFonts w:hint="default" w:ascii="Calibri" w:hAnsi="Calibri" w:eastAsia="Calibri"/>
                <w:sz w:val="24"/>
                <w:szCs w:val="24"/>
                <w:rtl w:val="0"/>
              </w:rPr>
              <w:t>Assessment Scores:</w:t>
            </w:r>
          </w:p>
          <w:p>
            <w:pPr>
              <w:pageBreakBefore w:val="0"/>
              <w:numPr>
                <w:ilvl w:val="0"/>
                <w:numId w:val="0"/>
              </w:numPr>
              <w:spacing w:after="0" w:line="280" w:lineRule="auto"/>
              <w:ind w:right="180" w:rightChars="0"/>
              <w:rPr>
                <w:rFonts w:hint="default" w:ascii="Calibri" w:hAnsi="Calibri" w:eastAsia="Calibri"/>
                <w:sz w:val="24"/>
                <w:szCs w:val="24"/>
                <w:rtl w:val="0"/>
              </w:rPr>
            </w:pPr>
          </w:p>
          <w:p>
            <w:pPr>
              <w:pageBreakBefore w:val="0"/>
              <w:numPr>
                <w:ilvl w:val="0"/>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Compare the performance of students before and after the implementation of the modified approach. Look at scores on exams, quizzes, or other assessments related to pharmacology.</w:t>
            </w:r>
            <w:r>
              <w:rPr>
                <w:rFonts w:hint="default" w:ascii="Calibri" w:hAnsi="Calibri" w:eastAsia="Calibri"/>
                <w:sz w:val="24"/>
                <w:szCs w:val="24"/>
                <w:rtl w:val="0"/>
                <w:lang w:val="en-US"/>
              </w:rPr>
              <w:t xml:space="preserve"> </w:t>
            </w:r>
            <w:r>
              <w:rPr>
                <w:rFonts w:hint="default" w:ascii="Calibri" w:hAnsi="Calibri" w:eastAsia="Calibri"/>
                <w:sz w:val="24"/>
                <w:szCs w:val="24"/>
                <w:rtl w:val="0"/>
              </w:rPr>
              <w:t>Compare the average scores of students who experienced the traditional approach to those who experienced the modified approach.</w:t>
            </w:r>
          </w:p>
          <w:p>
            <w:pPr>
              <w:pageBreakBefore w:val="0"/>
              <w:numPr>
                <w:ilvl w:val="0"/>
                <w:numId w:val="0"/>
              </w:numPr>
              <w:spacing w:after="0" w:line="280" w:lineRule="auto"/>
              <w:ind w:right="180" w:rightChars="0"/>
              <w:rPr>
                <w:rFonts w:hint="default" w:ascii="Calibri" w:hAnsi="Calibri" w:eastAsia="Calibri"/>
                <w:sz w:val="24"/>
                <w:szCs w:val="24"/>
                <w:rtl w:val="0"/>
              </w:rPr>
            </w:pPr>
          </w:p>
          <w:p>
            <w:pPr>
              <w:pageBreakBefore w:val="0"/>
              <w:numPr>
                <w:ilvl w:val="0"/>
                <w:numId w:val="3"/>
              </w:numPr>
              <w:spacing w:after="0" w:line="280" w:lineRule="auto"/>
              <w:ind w:left="0" w:leftChars="0" w:right="180" w:rightChars="0" w:firstLine="0" w:firstLineChars="0"/>
              <w:rPr>
                <w:rFonts w:hint="default" w:ascii="Calibri" w:hAnsi="Calibri" w:eastAsia="Calibri"/>
                <w:sz w:val="24"/>
                <w:szCs w:val="24"/>
                <w:rtl w:val="0"/>
              </w:rPr>
            </w:pPr>
            <w:r>
              <w:rPr>
                <w:rFonts w:hint="default" w:ascii="Calibri" w:hAnsi="Calibri" w:eastAsia="Calibri"/>
                <w:sz w:val="24"/>
                <w:szCs w:val="24"/>
                <w:rtl w:val="0"/>
                <w:lang w:val="en-US"/>
              </w:rPr>
              <w:t>Course Completion</w:t>
            </w:r>
            <w:r>
              <w:rPr>
                <w:rFonts w:hint="default" w:ascii="Calibri" w:hAnsi="Calibri" w:eastAsia="Calibri"/>
                <w:sz w:val="24"/>
                <w:szCs w:val="24"/>
                <w:rtl w:val="0"/>
              </w:rPr>
              <w:t xml:space="preserve"> Rates:</w:t>
            </w:r>
          </w:p>
          <w:p>
            <w:pPr>
              <w:pageBreakBefore w:val="0"/>
              <w:numPr>
                <w:ilvl w:val="0"/>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 xml:space="preserve">Analyze the </w:t>
            </w:r>
            <w:r>
              <w:rPr>
                <w:rFonts w:hint="default" w:ascii="Calibri" w:hAnsi="Calibri" w:eastAsia="Calibri"/>
                <w:sz w:val="24"/>
                <w:szCs w:val="24"/>
                <w:rtl w:val="0"/>
                <w:lang w:val="en-US"/>
              </w:rPr>
              <w:t xml:space="preserve">course completion </w:t>
            </w:r>
            <w:r>
              <w:rPr>
                <w:rFonts w:hint="default" w:ascii="Calibri" w:hAnsi="Calibri" w:eastAsia="Calibri"/>
                <w:sz w:val="24"/>
                <w:szCs w:val="24"/>
                <w:rtl w:val="0"/>
              </w:rPr>
              <w:t xml:space="preserve">rates of students who were taught using the traditional approach </w:t>
            </w:r>
            <w:r>
              <w:rPr>
                <w:rFonts w:hint="default" w:ascii="Calibri" w:hAnsi="Calibri" w:eastAsia="Calibri"/>
                <w:sz w:val="24"/>
                <w:szCs w:val="24"/>
                <w:rtl w:val="0"/>
                <w:lang w:val="en-US"/>
              </w:rPr>
              <w:t xml:space="preserve">from the previous semesters </w:t>
            </w:r>
            <w:r>
              <w:rPr>
                <w:rFonts w:hint="default" w:ascii="Calibri" w:hAnsi="Calibri" w:eastAsia="Calibri"/>
                <w:sz w:val="24"/>
                <w:szCs w:val="24"/>
                <w:rtl w:val="0"/>
              </w:rPr>
              <w:t>versus the modified approach</w:t>
            </w:r>
            <w:r>
              <w:rPr>
                <w:rFonts w:hint="default" w:ascii="Calibri" w:hAnsi="Calibri" w:eastAsia="Calibri"/>
                <w:sz w:val="24"/>
                <w:szCs w:val="24"/>
                <w:rtl w:val="0"/>
                <w:lang w:val="en-US"/>
              </w:rPr>
              <w:t xml:space="preserve">. </w:t>
            </w:r>
            <w:r>
              <w:rPr>
                <w:rFonts w:hint="default" w:ascii="Calibri" w:hAnsi="Calibri" w:eastAsia="Calibri"/>
                <w:sz w:val="24"/>
                <w:szCs w:val="24"/>
                <w:rtl w:val="0"/>
              </w:rPr>
              <w:t>Explore if the modified approach contributes to a higher percentage of students successfully completing the course.</w:t>
            </w:r>
          </w:p>
          <w:p>
            <w:pPr>
              <w:pageBreakBefore w:val="0"/>
              <w:numPr>
                <w:ilvl w:val="0"/>
                <w:numId w:val="0"/>
              </w:numPr>
              <w:spacing w:after="0" w:line="280" w:lineRule="auto"/>
              <w:ind w:right="180" w:rightChars="0"/>
              <w:rPr>
                <w:rFonts w:hint="default" w:ascii="Calibri" w:hAnsi="Calibri" w:eastAsia="Calibri"/>
                <w:sz w:val="24"/>
                <w:szCs w:val="24"/>
                <w:rtl w:val="0"/>
              </w:rPr>
            </w:pPr>
          </w:p>
          <w:p>
            <w:pPr>
              <w:pageBreakBefore w:val="0"/>
              <w:numPr>
                <w:ilvl w:val="0"/>
                <w:numId w:val="0"/>
              </w:numPr>
              <w:spacing w:after="0" w:line="280" w:lineRule="auto"/>
              <w:ind w:right="180" w:rightChars="0"/>
              <w:rPr>
                <w:rFonts w:hint="default" w:ascii="Calibri" w:hAnsi="Calibri" w:eastAsia="Calibri"/>
                <w:b/>
                <w:bCs/>
                <w:sz w:val="24"/>
                <w:szCs w:val="24"/>
                <w:rtl w:val="0"/>
                <w:lang w:val="en-US"/>
              </w:rPr>
            </w:pPr>
            <w:r>
              <w:rPr>
                <w:rFonts w:hint="default" w:ascii="Calibri" w:hAnsi="Calibri" w:eastAsia="Calibri"/>
                <w:b/>
                <w:bCs/>
                <w:sz w:val="24"/>
                <w:szCs w:val="24"/>
                <w:rtl w:val="0"/>
                <w:lang w:val="en-US"/>
              </w:rPr>
              <w:t>Subjective Measures:</w:t>
            </w:r>
          </w:p>
          <w:p>
            <w:pPr>
              <w:pageBreakBefore w:val="0"/>
              <w:numPr>
                <w:ilvl w:val="0"/>
                <w:numId w:val="0"/>
              </w:numPr>
              <w:spacing w:after="0" w:line="280" w:lineRule="auto"/>
              <w:ind w:right="180" w:rightChars="0"/>
              <w:rPr>
                <w:rFonts w:hint="default" w:ascii="Calibri" w:hAnsi="Calibri" w:eastAsia="Calibri"/>
                <w:sz w:val="24"/>
                <w:szCs w:val="24"/>
                <w:rtl w:val="0"/>
              </w:rPr>
            </w:pPr>
          </w:p>
          <w:p>
            <w:pPr>
              <w:pageBreakBefore w:val="0"/>
              <w:numPr>
                <w:ilvl w:val="0"/>
                <w:numId w:val="4"/>
              </w:numPr>
              <w:spacing w:after="0" w:line="280" w:lineRule="auto"/>
              <w:ind w:leftChars="0" w:right="180" w:rightChars="0"/>
              <w:rPr>
                <w:rFonts w:hint="default" w:ascii="Calibri" w:hAnsi="Calibri" w:eastAsia="Calibri"/>
                <w:sz w:val="24"/>
                <w:szCs w:val="24"/>
                <w:rtl w:val="0"/>
              </w:rPr>
            </w:pPr>
            <w:r>
              <w:rPr>
                <w:rFonts w:hint="default" w:ascii="Calibri" w:hAnsi="Calibri" w:eastAsia="Calibri"/>
                <w:sz w:val="24"/>
                <w:szCs w:val="24"/>
                <w:rtl w:val="0"/>
              </w:rPr>
              <w:t>Survey Data:</w:t>
            </w:r>
          </w:p>
          <w:p>
            <w:pPr>
              <w:pageBreakBefore w:val="0"/>
              <w:numPr>
                <w:ilvl w:val="0"/>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Develop and post-</w:t>
            </w:r>
            <w:r>
              <w:rPr>
                <w:rFonts w:hint="default" w:ascii="Calibri" w:hAnsi="Calibri" w:eastAsia="Calibri"/>
                <w:sz w:val="24"/>
                <w:szCs w:val="24"/>
                <w:rtl w:val="0"/>
                <w:lang w:val="en-US"/>
              </w:rPr>
              <w:t xml:space="preserve">class </w:t>
            </w:r>
            <w:r>
              <w:rPr>
                <w:rFonts w:hint="default" w:ascii="Calibri" w:hAnsi="Calibri" w:eastAsia="Calibri"/>
                <w:sz w:val="24"/>
                <w:szCs w:val="24"/>
                <w:rtl w:val="0"/>
              </w:rPr>
              <w:t>surveys to gather students' perceptions of their understanding, engagement, and confidence in applying pharmacological knowledge.</w:t>
            </w:r>
          </w:p>
          <w:p>
            <w:pPr>
              <w:pageBreakBefore w:val="0"/>
              <w:numPr>
                <w:ilvl w:val="0"/>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Collect feedback on the perceived relevance of the course content to real-world clinical scenarios.</w:t>
            </w:r>
          </w:p>
          <w:p>
            <w:pPr>
              <w:pageBreakBefore w:val="0"/>
              <w:numPr>
                <w:ilvl w:val="0"/>
                <w:numId w:val="0"/>
              </w:numPr>
              <w:spacing w:after="0" w:line="280" w:lineRule="auto"/>
              <w:ind w:right="180" w:rightChars="0"/>
              <w:rPr>
                <w:rFonts w:hint="default" w:ascii="Calibri" w:hAnsi="Calibri" w:eastAsia="Calibri"/>
                <w:sz w:val="24"/>
                <w:szCs w:val="24"/>
                <w:rtl w:val="0"/>
              </w:rPr>
            </w:pPr>
          </w:p>
          <w:p>
            <w:pPr>
              <w:pageBreakBefore w:val="0"/>
              <w:numPr>
                <w:ilvl w:val="0"/>
                <w:numId w:val="4"/>
              </w:numPr>
              <w:spacing w:after="0" w:line="280" w:lineRule="auto"/>
              <w:ind w:left="0" w:leftChars="0" w:right="180" w:rightChars="0" w:firstLine="0" w:firstLineChars="0"/>
              <w:rPr>
                <w:rFonts w:hint="default" w:ascii="Calibri" w:hAnsi="Calibri" w:eastAsia="Calibri"/>
                <w:sz w:val="24"/>
                <w:szCs w:val="24"/>
                <w:rtl w:val="0"/>
              </w:rPr>
            </w:pPr>
            <w:r>
              <w:rPr>
                <w:rFonts w:hint="default" w:ascii="Calibri" w:hAnsi="Calibri" w:eastAsia="Calibri"/>
                <w:sz w:val="24"/>
                <w:szCs w:val="24"/>
                <w:rtl w:val="0"/>
              </w:rPr>
              <w:t>Focus Groups:</w:t>
            </w:r>
          </w:p>
          <w:p>
            <w:pPr>
              <w:pageBreakBefore w:val="0"/>
              <w:numPr>
                <w:ilvl w:val="0"/>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Conduct focus group discussions with students to delve deeper into their experiences with both teaching approaches.</w:t>
            </w:r>
          </w:p>
          <w:p>
            <w:pPr>
              <w:pageBreakBefore w:val="0"/>
              <w:numPr>
                <w:ilvl w:val="0"/>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Gather insights into their understanding of interconnectedness, ability to apply knowledge in practical scenarios, and overall satisfaction with the course.</w:t>
            </w:r>
          </w:p>
          <w:p>
            <w:pPr>
              <w:pageBreakBefore w:val="0"/>
              <w:numPr>
                <w:ilvl w:val="0"/>
                <w:numId w:val="0"/>
              </w:numPr>
              <w:spacing w:after="0" w:line="280" w:lineRule="auto"/>
              <w:ind w:right="180" w:rightChars="0"/>
              <w:rPr>
                <w:rFonts w:hint="default" w:ascii="Calibri" w:hAnsi="Calibri" w:eastAsia="Calibri"/>
                <w:sz w:val="24"/>
                <w:szCs w:val="24"/>
                <w:rtl w:val="0"/>
              </w:rPr>
            </w:pPr>
          </w:p>
          <w:p>
            <w:pPr>
              <w:pageBreakBefore w:val="0"/>
              <w:numPr>
                <w:ilvl w:val="0"/>
                <w:numId w:val="4"/>
              </w:numPr>
              <w:spacing w:after="0" w:line="280" w:lineRule="auto"/>
              <w:ind w:left="0" w:leftChars="0" w:right="180" w:rightChars="0" w:firstLine="0" w:firstLineChars="0"/>
              <w:rPr>
                <w:rFonts w:hint="default" w:ascii="Calibri" w:hAnsi="Calibri" w:eastAsia="Calibri"/>
                <w:sz w:val="24"/>
                <w:szCs w:val="24"/>
                <w:rtl w:val="0"/>
              </w:rPr>
            </w:pPr>
            <w:r>
              <w:rPr>
                <w:rFonts w:hint="default" w:ascii="Calibri" w:hAnsi="Calibri" w:eastAsia="Calibri"/>
                <w:sz w:val="24"/>
                <w:szCs w:val="24"/>
                <w:rtl w:val="0"/>
              </w:rPr>
              <w:t>Observations:</w:t>
            </w:r>
          </w:p>
          <w:p>
            <w:pPr>
              <w:pageBreakBefore w:val="0"/>
              <w:numPr>
                <w:ilvl w:val="0"/>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Observe PBL sessions and integrated case study activities to assess student engagement, collaboration, and critical thinking skills.</w:t>
            </w:r>
          </w:p>
          <w:p>
            <w:pPr>
              <w:pageBreakBefore w:val="0"/>
              <w:numPr>
                <w:ilvl w:val="0"/>
                <w:numId w:val="0"/>
              </w:numPr>
              <w:spacing w:after="0" w:line="280" w:lineRule="auto"/>
              <w:ind w:left="360" w:leftChars="0" w:right="180" w:rightChars="0"/>
              <w:rPr>
                <w:rFonts w:ascii="Calibri" w:hAnsi="Calibri" w:eastAsia="Calibri" w:cs="Calibri"/>
                <w:sz w:val="24"/>
                <w:szCs w:val="24"/>
              </w:rPr>
            </w:pPr>
            <w:r>
              <w:rPr>
                <w:rFonts w:hint="default" w:ascii="Calibri" w:hAnsi="Calibri" w:eastAsia="Calibri"/>
                <w:sz w:val="24"/>
                <w:szCs w:val="24"/>
                <w:rtl w:val="0"/>
              </w:rPr>
              <w:t>Note any changes in the classroom dynamics or student interactions compared to the traditional approach.</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11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spacing w:before="80" w:after="0" w:line="306" w:lineRule="auto"/>
              <w:ind w:left="0" w:firstLine="0"/>
              <w:rPr>
                <w:rFonts w:ascii="Calibri" w:hAnsi="Calibri" w:eastAsia="Calibri" w:cs="Calibri"/>
                <w:b/>
                <w:sz w:val="25"/>
                <w:szCs w:val="25"/>
              </w:rPr>
            </w:pPr>
            <w:r>
              <w:rPr>
                <w:rFonts w:ascii="Calibri" w:hAnsi="Calibri" w:eastAsia="Calibri" w:cs="Calibri"/>
                <w:b/>
                <w:sz w:val="25"/>
                <w:szCs w:val="25"/>
                <w:rtl w:val="0"/>
              </w:rPr>
              <w:t>How and where would you publish, present, or disseminate this work?</w:t>
            </w:r>
          </w:p>
          <w:p>
            <w:pPr>
              <w:pageBreakBefore w:val="0"/>
              <w:spacing w:before="80" w:after="0" w:line="240" w:lineRule="auto"/>
              <w:ind w:left="0" w:firstLine="0"/>
              <w:rPr>
                <w:rFonts w:ascii="Calibri" w:hAnsi="Calibri" w:eastAsia="Calibri" w:cs="Calibri"/>
                <w:sz w:val="24"/>
                <w:szCs w:val="24"/>
              </w:rPr>
            </w:pPr>
            <w:r>
              <w:rPr>
                <w:rFonts w:hint="default" w:ascii="Calibri" w:hAnsi="Calibri" w:eastAsia="Calibri"/>
                <w:sz w:val="24"/>
                <w:szCs w:val="24"/>
                <w:rtl w:val="0"/>
              </w:rPr>
              <w:t xml:space="preserve">Initially, I would present the findings to students to highlight their input and gather feedback on the new approach. Subsequently, I'd share the results with colleagues and the department to promote the adoption of the teaching strategy. Following internal presentations, I would integrate valuable peer feedback before </w:t>
            </w:r>
            <w:r>
              <w:rPr>
                <w:rFonts w:hint="default" w:ascii="Calibri" w:hAnsi="Calibri" w:eastAsia="Calibri"/>
                <w:sz w:val="24"/>
                <w:szCs w:val="24"/>
                <w:rtl w:val="0"/>
                <w:lang w:val="en-US"/>
              </w:rPr>
              <w:t>discussing</w:t>
            </w:r>
            <w:r>
              <w:rPr>
                <w:rFonts w:hint="default" w:ascii="Calibri" w:hAnsi="Calibri" w:eastAsia="Calibri"/>
                <w:sz w:val="24"/>
                <w:szCs w:val="24"/>
                <w:rtl w:val="0"/>
              </w:rPr>
              <w:t xml:space="preserve"> the findings to the wider faculty community during a professional development session.</w:t>
            </w:r>
          </w:p>
        </w:tc>
      </w:tr>
    </w:tbl>
    <w:p>
      <w:pPr>
        <w:pageBreakBefore w:val="0"/>
        <w:spacing w:after="400" w:line="240" w:lineRule="auto"/>
        <w:rPr>
          <w:rFonts w:ascii="Calibri" w:hAnsi="Calibri" w:eastAsia="Calibri" w:cs="Calibri"/>
        </w:rPr>
      </w:pPr>
      <w:r>
        <w:rPr>
          <w:rFonts w:ascii="Calibri" w:hAnsi="Calibri" w:eastAsia="Calibri" w:cs="Calibri"/>
          <w:rtl w:val="0"/>
        </w:rPr>
        <w:t xml:space="preserve"> </w:t>
      </w:r>
    </w:p>
    <w:p>
      <w:pPr>
        <w:pageBreakBefore w:val="0"/>
        <w:spacing w:before="20" w:line="280" w:lineRule="auto"/>
        <w:rPr>
          <w:rFonts w:ascii="Calibri" w:hAnsi="Calibri" w:eastAsia="Calibri" w:cs="Calibri"/>
          <w:b/>
          <w:i/>
          <w:sz w:val="23"/>
          <w:szCs w:val="23"/>
        </w:rPr>
      </w:pPr>
      <w:r>
        <w:rPr>
          <w:rFonts w:ascii="Calibri" w:hAnsi="Calibri" w:eastAsia="Calibri" w:cs="Calibri"/>
          <w:sz w:val="23"/>
          <w:szCs w:val="23"/>
          <w:rtl w:val="0"/>
        </w:rPr>
        <w:t xml:space="preserve">Adapted from: C. J. Stanny, E. M. El-Sheikh, &amp; H-M. Chung (2009) </w:t>
      </w:r>
      <w:r>
        <w:rPr>
          <w:rFonts w:ascii="Calibri" w:hAnsi="Calibri" w:eastAsia="Calibri" w:cs="Calibri"/>
          <w:b/>
          <w:i/>
          <w:sz w:val="23"/>
          <w:szCs w:val="23"/>
          <w:rtl w:val="0"/>
        </w:rPr>
        <w:t>Getting Started with an SoTL Project</w:t>
      </w:r>
    </w:p>
    <w:p>
      <w:pPr>
        <w:pageBreakBefore w:val="0"/>
        <w:spacing w:line="277" w:lineRule="auto"/>
        <w:rPr>
          <w:rFonts w:ascii="Calibri" w:hAnsi="Calibri" w:eastAsia="Calibri" w:cs="Calibri"/>
          <w:color w:val="0000FF"/>
          <w:sz w:val="23"/>
          <w:szCs w:val="23"/>
          <w:u w:val="single"/>
        </w:rPr>
      </w:pPr>
      <w:r>
        <w:rPr>
          <w:rFonts w:ascii="Calibri" w:hAnsi="Calibri" w:eastAsia="Calibri" w:cs="Calibri"/>
          <w:sz w:val="23"/>
          <w:szCs w:val="23"/>
          <w:rtl w:val="0"/>
        </w:rPr>
        <w:t xml:space="preserve">Center for University Teaching, Learning, and Assessment </w:t>
      </w:r>
      <w:r>
        <w:fldChar w:fldCharType="begin"/>
      </w:r>
      <w:r>
        <w:instrText xml:space="preserve"> HYPERLINK "http://uwf.edu/cutla/" \h </w:instrText>
      </w:r>
      <w:r>
        <w:fldChar w:fldCharType="separate"/>
      </w:r>
      <w:r>
        <w:rPr>
          <w:rFonts w:ascii="Calibri" w:hAnsi="Calibri" w:eastAsia="Calibri" w:cs="Calibri"/>
          <w:sz w:val="23"/>
          <w:szCs w:val="23"/>
          <w:rtl w:val="0"/>
        </w:rPr>
        <w:t xml:space="preserve"> </w:t>
      </w:r>
      <w:r>
        <w:rPr>
          <w:rFonts w:ascii="Calibri" w:hAnsi="Calibri" w:eastAsia="Calibri" w:cs="Calibri"/>
          <w:sz w:val="23"/>
          <w:szCs w:val="23"/>
          <w:rtl w:val="0"/>
        </w:rPr>
        <w:fldChar w:fldCharType="end"/>
      </w:r>
      <w:r>
        <w:fldChar w:fldCharType="begin"/>
      </w:r>
      <w:r>
        <w:instrText xml:space="preserve"> HYPERLINK "http://uwf.edu/cutla/" </w:instrText>
      </w:r>
      <w:r>
        <w:fldChar w:fldCharType="separate"/>
      </w:r>
      <w:r>
        <w:rPr>
          <w:rFonts w:ascii="Calibri" w:hAnsi="Calibri" w:eastAsia="Calibri" w:cs="Calibri"/>
          <w:color w:val="0000FF"/>
          <w:sz w:val="23"/>
          <w:szCs w:val="23"/>
          <w:u w:val="single"/>
          <w:rtl w:val="0"/>
        </w:rPr>
        <w:t>http://uwf.edu/cutla/</w:t>
      </w:r>
    </w:p>
    <w:p>
      <w:pPr>
        <w:pageBreakBefore w:val="0"/>
      </w:pPr>
      <w:r>
        <w:fldChar w:fldCharType="end"/>
      </w:r>
    </w:p>
    <w:sectPr>
      <w:pgSz w:w="12240" w:h="15840"/>
      <w:pgMar w:top="540" w:right="1440" w:bottom="810" w:left="144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6A3888"/>
    <w:multiLevelType w:val="singleLevel"/>
    <w:tmpl w:val="1C6A3888"/>
    <w:lvl w:ilvl="0" w:tentative="0">
      <w:start w:val="1"/>
      <w:numFmt w:val="decimal"/>
      <w:suff w:val="space"/>
      <w:lvlText w:val="%1."/>
      <w:lvlJc w:val="left"/>
    </w:lvl>
  </w:abstractNum>
  <w:abstractNum w:abstractNumId="1">
    <w:nsid w:val="348BEE76"/>
    <w:multiLevelType w:val="singleLevel"/>
    <w:tmpl w:val="348BEE76"/>
    <w:lvl w:ilvl="0" w:tentative="0">
      <w:start w:val="1"/>
      <w:numFmt w:val="decimal"/>
      <w:suff w:val="space"/>
      <w:lvlText w:val="%1."/>
      <w:lvlJc w:val="left"/>
    </w:lvl>
  </w:abstractNum>
  <w:abstractNum w:abstractNumId="2">
    <w:nsid w:val="3A445834"/>
    <w:multiLevelType w:val="singleLevel"/>
    <w:tmpl w:val="3A445834"/>
    <w:lvl w:ilvl="0" w:tentative="0">
      <w:start w:val="1"/>
      <w:numFmt w:val="decimal"/>
      <w:suff w:val="space"/>
      <w:lvlText w:val="%1."/>
      <w:lvlJc w:val="left"/>
    </w:lvl>
  </w:abstractNum>
  <w:abstractNum w:abstractNumId="3">
    <w:nsid w:val="752FEE39"/>
    <w:multiLevelType w:val="singleLevel"/>
    <w:tmpl w:val="752FEE39"/>
    <w:lvl w:ilvl="0" w:tentative="0">
      <w:start w:val="1"/>
      <w:numFmt w:val="decimal"/>
      <w:suff w:val="space"/>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30485B18"/>
    <w:rsid w:val="3F0218FA"/>
    <w:rsid w:val="639562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 w:type="table" w:customStyle="1" w:styleId="12">
    <w:name w:val="Table Normal1"/>
    <w:qFormat/>
    <w:uiPriority w:val="0"/>
  </w:style>
  <w:style w:type="table" w:customStyle="1" w:styleId="13">
    <w:name w:val="_Style 10"/>
    <w:basedOn w:val="12"/>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2023-12-15T15:20:00Z</dcterms:created>
  <dc:creator>Shawn</dc:creator>
  <cp:lastModifiedBy>Shawn Luo</cp:lastModifiedBy>
  <dcterms:modified xsi:type="dcterms:W3CDTF">2023-12-15T18:45:20Z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5E7A7221B2D74F8181331376789F9FB2_13</vt:lpwstr>
  </property>
</Properties>
</file>