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SoTL Project Reflection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ind w:firstLine="7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Embarking on the Scholarship of Teaching and Learning (SoTL) module has been an enlightening journey, guiding me from the initial exploration of pedagogical questions to the development of a comprehensive </w:t>
      </w:r>
      <w:r>
        <w:rPr>
          <w:rFonts w:hint="default"/>
          <w:sz w:val="24"/>
          <w:szCs w:val="24"/>
          <w:lang w:val="en-US"/>
        </w:rPr>
        <w:t>SoTL project</w:t>
      </w:r>
      <w:r>
        <w:rPr>
          <w:rFonts w:hint="default"/>
          <w:sz w:val="24"/>
          <w:szCs w:val="24"/>
        </w:rPr>
        <w:t xml:space="preserve"> plan. This reflective response encapsulates the key points of my SoTL experience, including the research questions, prior research, plan of action, and a dissemination strategy.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11805" cy="2031365"/>
            <wp:effectExtent l="0" t="0" r="17145" b="698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2031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by Laurie Ratto | Jul 7, 2023 | emotional healing, holistic healing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Research Questions:</w:t>
      </w:r>
    </w:p>
    <w:p>
      <w:pPr>
        <w:ind w:firstLine="7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The </w:t>
      </w:r>
      <w:r>
        <w:rPr>
          <w:rFonts w:hint="default"/>
          <w:sz w:val="24"/>
          <w:szCs w:val="24"/>
          <w:lang w:val="en-US"/>
        </w:rPr>
        <w:t>focus</w:t>
      </w:r>
      <w:r>
        <w:rPr>
          <w:rFonts w:hint="default"/>
          <w:sz w:val="24"/>
          <w:szCs w:val="24"/>
        </w:rPr>
        <w:t xml:space="preserve"> of my SoTL exploration revolves around the inquiry into effective teaching strategies facilitating the integration of pharmacological management across different organ systems for patients with multiple comorbidities. Specifically, I am curious about overcoming challenges associated with the traditional organ system-based approach to teaching pharmacology and whether innovative methods enhance students' holistic application of knowledge.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Faculty Discussion and Reflection:</w:t>
      </w:r>
    </w:p>
    <w:p>
      <w:pPr>
        <w:ind w:firstLine="720" w:firstLineChars="0"/>
        <w:rPr>
          <w:rFonts w:hint="default"/>
          <w:b/>
          <w:bCs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Faculty members from three college campuses have pooled their insights. Through combination of reflective practice and group discussions, we've identified that the traditional organ system-based approach poses challenges in fostering a seamless understanding of pharmacological management. The diversity among our student cohorts became evident, emphasizing the need for a more integrated approach. This realization surfaced as we exchanged anecdotes and observations from our respective classrooms.</w:t>
      </w:r>
    </w:p>
    <w:p>
      <w:pPr>
        <w:rPr>
          <w:rFonts w:hint="default"/>
          <w:b/>
          <w:bCs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SoTL </w:t>
      </w:r>
      <w:r>
        <w:rPr>
          <w:rFonts w:hint="default"/>
          <w:b/>
          <w:bCs/>
          <w:sz w:val="24"/>
          <w:szCs w:val="24"/>
        </w:rPr>
        <w:t>Plan of Action:</w:t>
      </w:r>
    </w:p>
    <w:p>
      <w:pPr>
        <w:ind w:firstLine="7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The envisioned plan of action </w:t>
      </w:r>
      <w:r>
        <w:rPr>
          <w:rFonts w:hint="default"/>
          <w:sz w:val="24"/>
          <w:szCs w:val="24"/>
          <w:lang w:val="en-US"/>
        </w:rPr>
        <w:t xml:space="preserve">involves a </w:t>
      </w:r>
      <w:r>
        <w:rPr>
          <w:rFonts w:hint="default"/>
          <w:sz w:val="24"/>
          <w:szCs w:val="24"/>
        </w:rPr>
        <w:t>mix of qualitative and quantitative methodologies. Qualitatively, student comprehension will be gauged through clinical case studies, in-class discussions, and feedback collected through surveys. Quantitatively, pre- and post-assessment quizzes</w:t>
      </w:r>
      <w:r>
        <w:rPr>
          <w:rFonts w:hint="default"/>
          <w:sz w:val="24"/>
          <w:szCs w:val="24"/>
          <w:lang w:val="en-US"/>
        </w:rPr>
        <w:t>/tests</w:t>
      </w:r>
      <w:r>
        <w:rPr>
          <w:rFonts w:hint="default"/>
          <w:sz w:val="24"/>
          <w:szCs w:val="24"/>
        </w:rPr>
        <w:t xml:space="preserve"> will be employed, alongside the analysis of course completion rates and assessment scores. The modified teaching strategy, emphasizing interconnectedness and real-world applications, with the ultimate goal of enhancing </w:t>
      </w:r>
      <w:r>
        <w:rPr>
          <w:rFonts w:hint="default"/>
          <w:sz w:val="24"/>
          <w:szCs w:val="24"/>
          <w:lang w:val="en-US"/>
        </w:rPr>
        <w:t xml:space="preserve">achievement of </w:t>
      </w:r>
      <w:r>
        <w:rPr>
          <w:rFonts w:hint="default"/>
          <w:sz w:val="24"/>
          <w:szCs w:val="24"/>
        </w:rPr>
        <w:t xml:space="preserve">student learning outcomes in </w:t>
      </w:r>
      <w:r>
        <w:rPr>
          <w:rFonts w:hint="default"/>
          <w:sz w:val="24"/>
          <w:szCs w:val="24"/>
          <w:lang w:val="en-US"/>
        </w:rPr>
        <w:t xml:space="preserve">the </w:t>
      </w:r>
      <w:r>
        <w:rPr>
          <w:rFonts w:hint="default"/>
          <w:sz w:val="24"/>
          <w:szCs w:val="24"/>
        </w:rPr>
        <w:t>pharmacology</w:t>
      </w:r>
      <w:r>
        <w:rPr>
          <w:rFonts w:hint="default"/>
          <w:sz w:val="24"/>
          <w:szCs w:val="24"/>
          <w:lang w:val="en-US"/>
        </w:rPr>
        <w:t xml:space="preserve"> course</w:t>
      </w:r>
      <w:r>
        <w:rPr>
          <w:rFonts w:hint="default"/>
          <w:sz w:val="24"/>
          <w:szCs w:val="24"/>
        </w:rPr>
        <w:t>.</w:t>
      </w:r>
    </w:p>
    <w:p>
      <w:pPr>
        <w:rPr>
          <w:rFonts w:hint="default"/>
          <w:b/>
          <w:bCs/>
          <w:sz w:val="24"/>
          <w:szCs w:val="24"/>
        </w:rPr>
      </w:pPr>
      <w:bookmarkStart w:id="0" w:name="_GoBack"/>
      <w:bookmarkEnd w:id="0"/>
      <w:r>
        <w:rPr>
          <w:rFonts w:hint="default"/>
          <w:b/>
          <w:bCs/>
          <w:sz w:val="24"/>
          <w:szCs w:val="24"/>
        </w:rPr>
        <w:t>Dissemination Strategy:</w:t>
      </w:r>
    </w:p>
    <w:p>
      <w:pPr>
        <w:ind w:firstLine="7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The dissemination strategy for this SoTL project is structured to ensure its impact extends beyond the classroom. Initial findings will be shared with students, </w:t>
      </w:r>
      <w:r>
        <w:rPr>
          <w:rFonts w:hint="default"/>
          <w:sz w:val="24"/>
          <w:szCs w:val="24"/>
          <w:lang w:val="en-US"/>
        </w:rPr>
        <w:t>collecting</w:t>
      </w:r>
      <w:r>
        <w:rPr>
          <w:rFonts w:hint="default"/>
          <w:sz w:val="24"/>
          <w:szCs w:val="24"/>
        </w:rPr>
        <w:t xml:space="preserve"> their </w:t>
      </w:r>
      <w:r>
        <w:rPr>
          <w:rFonts w:hint="default"/>
          <w:sz w:val="24"/>
          <w:szCs w:val="24"/>
          <w:lang w:val="en-US"/>
        </w:rPr>
        <w:t>feedback</w:t>
      </w:r>
      <w:r>
        <w:rPr>
          <w:rFonts w:hint="default"/>
          <w:sz w:val="24"/>
          <w:szCs w:val="24"/>
        </w:rPr>
        <w:t xml:space="preserve"> and fostering a sense of collaboration in the educational process. Subsequent presentations to colleagues and the department will aim to stimulate discussions and encourage the adoption of the modified teaching strategy </w:t>
      </w:r>
      <w:r>
        <w:rPr>
          <w:rFonts w:hint="default"/>
          <w:sz w:val="24"/>
          <w:szCs w:val="24"/>
          <w:lang w:val="en-US"/>
        </w:rPr>
        <w:t>for pharmacology across different college campuses</w:t>
      </w:r>
      <w:r>
        <w:rPr>
          <w:rFonts w:hint="default"/>
          <w:sz w:val="24"/>
          <w:szCs w:val="24"/>
        </w:rPr>
        <w:t>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 xml:space="preserve">Visualizing the </w:t>
      </w:r>
      <w:r>
        <w:rPr>
          <w:rFonts w:hint="default"/>
          <w:b/>
          <w:bCs/>
          <w:sz w:val="24"/>
          <w:szCs w:val="24"/>
          <w:lang w:val="en-US"/>
        </w:rPr>
        <w:t xml:space="preserve">SoTL </w:t>
      </w:r>
      <w:r>
        <w:rPr>
          <w:rFonts w:hint="default"/>
          <w:b/>
          <w:bCs/>
          <w:sz w:val="24"/>
          <w:szCs w:val="24"/>
        </w:rPr>
        <w:t>Project's Trajectory:</w:t>
      </w:r>
    </w:p>
    <w:p>
      <w:pPr>
        <w:ind w:firstLine="720" w:firstLineChars="0"/>
        <w:rPr>
          <w:sz w:val="24"/>
          <w:szCs w:val="24"/>
        </w:rPr>
      </w:pPr>
      <w:r>
        <w:rPr>
          <w:rFonts w:hint="default"/>
          <w:sz w:val="24"/>
          <w:szCs w:val="24"/>
        </w:rPr>
        <w:t xml:space="preserve">Envisioning the trajectory of this project entails picturing a </w:t>
      </w:r>
      <w:r>
        <w:rPr>
          <w:rFonts w:hint="default"/>
          <w:sz w:val="24"/>
          <w:szCs w:val="24"/>
          <w:lang w:val="en-US"/>
        </w:rPr>
        <w:t>paradigm</w:t>
      </w:r>
      <w:r>
        <w:rPr>
          <w:rFonts w:hint="default"/>
          <w:sz w:val="24"/>
          <w:szCs w:val="24"/>
        </w:rPr>
        <w:t xml:space="preserve"> shift in pharmacology education. I see students actively engaged in problem-solving, applying their knowledge across organ systems in authentic clinical scenarios. As the modified teaching strategy takes root, I visualize increased course completion rates, improved assessment scores, and a cohort of students better equipped to navigate the complexities of pharmacological management in diverse </w:t>
      </w:r>
      <w:r>
        <w:rPr>
          <w:rFonts w:hint="default"/>
          <w:sz w:val="24"/>
          <w:szCs w:val="24"/>
          <w:lang w:val="en-US"/>
        </w:rPr>
        <w:t xml:space="preserve">and complex </w:t>
      </w:r>
      <w:r>
        <w:rPr>
          <w:rFonts w:hint="default"/>
          <w:sz w:val="24"/>
          <w:szCs w:val="24"/>
        </w:rPr>
        <w:t>patient populations.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A42AF"/>
    <w:rsid w:val="536A42AF"/>
    <w:rsid w:val="79A1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2023-12-15T19:20:00Z</dcterms:created>
  <dc:creator>Shawn Luo</dc:creator>
  <cp:lastModifiedBy>Shawn Luo</cp:lastModifiedBy>
  <dcterms:modified xsi:type="dcterms:W3CDTF">2023-12-15T19:47:31Z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89F6D0D42EB84CF098691DEDE64A6CF4_11</vt:lpwstr>
  </property>
</Properties>
</file>