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8D24" w14:textId="77777777" w:rsidR="00F81B0B" w:rsidRDefault="00F81B0B" w:rsidP="4C9E60BE">
      <w:pPr>
        <w:spacing w:before="20" w:after="100" w:line="350" w:lineRule="auto"/>
        <w:jc w:val="center"/>
        <w:rPr>
          <w:rFonts w:ascii="Arial" w:eastAsia="Arial" w:hAnsi="Arial" w:cs="Arial"/>
          <w:color w:val="FF0000"/>
          <w:sz w:val="52"/>
          <w:szCs w:val="52"/>
        </w:rPr>
      </w:pPr>
    </w:p>
    <w:p w14:paraId="23182082" w14:textId="41684D70" w:rsidR="6141BEFD" w:rsidRPr="00F81B0B" w:rsidRDefault="6141BEFD" w:rsidP="4C9E60BE">
      <w:pPr>
        <w:spacing w:before="20" w:after="100" w:line="350" w:lineRule="auto"/>
        <w:jc w:val="center"/>
        <w:rPr>
          <w:rFonts w:ascii="Arial" w:eastAsia="Arial" w:hAnsi="Arial" w:cs="Arial"/>
          <w:color w:val="FF0000"/>
          <w:sz w:val="52"/>
          <w:szCs w:val="52"/>
        </w:rPr>
      </w:pPr>
      <w:r w:rsidRPr="00F81B0B">
        <w:rPr>
          <w:rFonts w:ascii="Arial" w:eastAsia="Arial" w:hAnsi="Arial" w:cs="Arial"/>
          <w:color w:val="FF0000"/>
          <w:sz w:val="52"/>
          <w:szCs w:val="52"/>
        </w:rPr>
        <w:t>Téléchargez ce document sur votre ordinateur avant de l’utiliser.</w:t>
      </w:r>
    </w:p>
    <w:p w14:paraId="57A0002C" w14:textId="5CE30F9B" w:rsidR="4C9E60BE" w:rsidRPr="00F81B0B" w:rsidRDefault="4C9E60BE" w:rsidP="4C9E60BE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</w:rPr>
      </w:pPr>
    </w:p>
    <w:p w14:paraId="008AE7B0" w14:textId="1C248A7A" w:rsidR="008E5517" w:rsidRPr="00F81B0B" w:rsidRDefault="155A57F5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</w:rPr>
      </w:pPr>
      <w:r w:rsidRPr="00F81B0B">
        <w:rPr>
          <w:rFonts w:ascii="Arial" w:eastAsia="Arial" w:hAnsi="Arial" w:cs="Arial"/>
          <w:sz w:val="52"/>
          <w:szCs w:val="52"/>
        </w:rPr>
        <w:t>Conception de mon projet d’érudition de l’enseignement et de l’apprentissage (EEA)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14:paraId="50F50F7D" w14:textId="77777777" w:rsidTr="272A9C12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F81B0B" w:rsidRDefault="417B3673" w:rsidP="65027AE8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</w:t>
            </w:r>
            <w:r w:rsidR="102B7B52"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estion de recherche</w:t>
            </w:r>
          </w:p>
          <w:p w14:paraId="3A522C19" w14:textId="7721143E" w:rsidR="6328F164" w:rsidRPr="00F81B0B" w:rsidRDefault="6328F164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Qu’est-ce qui </w:t>
            </w:r>
            <w:proofErr w:type="spellStart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sucite</w:t>
            </w:r>
            <w:proofErr w:type="spellEnd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votre </w:t>
            </w:r>
            <w:r w:rsidR="102B7B52"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curi</w:t>
            </w:r>
            <w:r w:rsidR="1A850E5A"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osité</w:t>
            </w:r>
            <w:r w:rsidR="102B7B52"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41C0099D" w14:textId="69E1647B" w:rsidR="102B7B52" w:rsidRPr="00F81B0B" w:rsidRDefault="102B7B5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Qu'aimeriez-vous savoir sur les stratégies qui pourraient entraver et/ou aider les </w:t>
            </w:r>
            <w:proofErr w:type="spellStart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étudiant</w:t>
            </w:r>
            <w:r w:rsidR="1F1A4956"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="1F1A4956"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e.</w:t>
            </w: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proofErr w:type="spellEnd"/>
            <w:proofErr w:type="gramEnd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à apprendre, dans votre cours ?</w:t>
            </w:r>
          </w:p>
          <w:p w14:paraId="5F7C7BC2" w14:textId="6D4AC125" w:rsidR="102B7B52" w:rsidRPr="00F81B0B" w:rsidRDefault="102B7B5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Voulez-vous savoir si une activité, un devoir ou une stratégie d'enseignement fonctionne?</w:t>
            </w:r>
          </w:p>
          <w:p w14:paraId="7B400745" w14:textId="0B645B16" w:rsidR="102B7B52" w:rsidRPr="00F81B0B" w:rsidRDefault="272A9C1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Avez-vous une question sur la </w:t>
            </w:r>
            <w:proofErr w:type="spellStart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mainère</w:t>
            </w:r>
            <w:proofErr w:type="spellEnd"/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d'aider vos élèves à acquérir une compétence particulière?</w:t>
            </w:r>
          </w:p>
          <w:p w14:paraId="4CBA1991" w14:textId="0F7E1EB7" w:rsidR="29B99534" w:rsidRPr="00F81B0B" w:rsidRDefault="29B99534" w:rsidP="272A9C12">
            <w:p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</w:tc>
      </w:tr>
      <w:tr w:rsidR="29B99534" w14:paraId="2DD9F8AB" w14:textId="77777777" w:rsidTr="272A9C12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3454" w14:textId="52433E8C" w:rsidR="72F1D130" w:rsidRPr="00F81B0B" w:rsidRDefault="272A9C12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>Identifiez un défi ou un résultat lié à l'apprentissage qui est lié à votre question.</w:t>
            </w:r>
            <w:r w:rsidRPr="00F81B0B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Décrivez l'apprentissage d'une manière qui suggère comment vous pourriez le mesurer en utilisant des méthodes qualitatives ou quantitatives.  </w:t>
            </w:r>
          </w:p>
          <w:p w14:paraId="6E6D896F" w14:textId="77777777" w:rsidR="72F1D130" w:rsidRDefault="72F1D130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</w:p>
          <w:p w14:paraId="323A3D3E" w14:textId="17A360BF" w:rsidR="00D11080" w:rsidRPr="00F81B0B" w:rsidRDefault="00D11080" w:rsidP="00D11080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 w:rsidRPr="00D1108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L'apprentissage actif est crucial dans l'éducation moderne car 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ça place les apprenants </w:t>
            </w:r>
            <w:r w:rsidRPr="00D11080">
              <w:rPr>
                <w:rFonts w:eastAsiaTheme="minorEastAsia"/>
                <w:color w:val="4472C4" w:themeColor="accent1"/>
                <w:sz w:val="24"/>
                <w:szCs w:val="24"/>
              </w:rPr>
              <w:t>au centre du processus d'apprentissage, encourageant ainsi une participation plus active et une meilleure compréhension des sujets étudiés.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Pr="00D1108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Cette méthode d'enseignement favorise le développement de compétences critiques telles que l'analyse, la synthèse et l'application des connaissances, plutôt que la mémorisation passive. 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>Cette méthode n’est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également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pas souvent employée au niveau universitaire.  </w:t>
            </w:r>
          </w:p>
        </w:tc>
      </w:tr>
      <w:tr w:rsidR="29B99534" w14:paraId="3D0E6380" w14:textId="77777777" w:rsidTr="272A9C12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F0CA" w14:textId="486CC185" w:rsidR="29B99534" w:rsidRPr="00F81B0B" w:rsidRDefault="6FA28590" w:rsidP="1C39C606">
            <w:pPr>
              <w:spacing w:after="0" w:line="276" w:lineRule="auto"/>
              <w:rPr>
                <w:rFonts w:ascii="Arial" w:eastAsia="Arial" w:hAnsi="Arial" w:cs="Arial"/>
                <w:sz w:val="52"/>
                <w:szCs w:val="52"/>
              </w:rPr>
            </w:pPr>
            <w:r w:rsidRPr="413A33E7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Décrivez l'activité pédagogique, le devoir ou la stratégie d'enseignement qui favorisera l'apprentissage des élèves par rapport au résultat d'apprentissage que vous avez identifié.</w:t>
            </w:r>
          </w:p>
          <w:p w14:paraId="57D72B05" w14:textId="68AB35E6" w:rsidR="29B99534" w:rsidRDefault="272A9C12" w:rsidP="272A9C12">
            <w:pPr>
              <w:spacing w:after="0"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Les projets d’EEA peuvent examiner l'impact d'une </w:t>
            </w:r>
            <w:r w:rsidRPr="272A9C1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modification </w:t>
            </w:r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d'une stratégie ou d'un devoir existant. Décrivez en quoi la nouvelle approche diffère de l'ancienne et pourquoi cette modification pourrait changer l'apprentissage des élèves à l'égard de ce résultat d'apprentissage.</w:t>
            </w:r>
          </w:p>
          <w:p w14:paraId="101EA316" w14:textId="77777777" w:rsidR="29B99534" w:rsidRDefault="29B99534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026329F6" w14:textId="09331031" w:rsidR="00D11080" w:rsidRDefault="00D11080" w:rsidP="00D11080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>Pour ce projet, je planifierai</w:t>
            </w:r>
            <w:r w:rsidR="008016B9">
              <w:rPr>
                <w:rFonts w:eastAsiaTheme="minorEastAsia"/>
                <w:color w:val="4472C4" w:themeColor="accent1"/>
                <w:sz w:val="24"/>
                <w:szCs w:val="24"/>
              </w:rPr>
              <w:t>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des activités</w:t>
            </w:r>
            <w:r w:rsid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d’apprentissage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acti</w:t>
            </w:r>
            <w:r w:rsidR="008016B9">
              <w:rPr>
                <w:rFonts w:eastAsiaTheme="minorEastAsia"/>
                <w:color w:val="4472C4" w:themeColor="accent1"/>
                <w:sz w:val="24"/>
                <w:szCs w:val="24"/>
              </w:rPr>
              <w:t>f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comme des </w:t>
            </w:r>
            <w:r w:rsidRPr="00D11080">
              <w:rPr>
                <w:rFonts w:eastAsiaTheme="minorEastAsia"/>
                <w:color w:val="4472C4" w:themeColor="accent1"/>
                <w:sz w:val="24"/>
                <w:szCs w:val="24"/>
              </w:rPr>
              <w:t>discussions de groupe structurées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>, des cas d’études, et des débats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.  Je pourrais mesurer la satisfaction des 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>apprenants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avec des 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questionnaires où 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ils 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>évaluent différents aspects de</w:t>
            </w:r>
            <w:r w:rsid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s 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>activité</w:t>
            </w:r>
            <w:r w:rsidR="008016B9">
              <w:rPr>
                <w:rFonts w:eastAsiaTheme="minorEastAsia"/>
                <w:color w:val="4472C4" w:themeColor="accent1"/>
                <w:sz w:val="24"/>
                <w:szCs w:val="24"/>
              </w:rPr>
              <w:t>s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comme l'intérêt, l'engagement, et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à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la pertinence </w:t>
            </w:r>
            <w:r w:rsidR="00962ADA">
              <w:rPr>
                <w:rFonts w:eastAsiaTheme="minorEastAsia"/>
                <w:color w:val="4472C4" w:themeColor="accent1"/>
                <w:sz w:val="24"/>
                <w:szCs w:val="24"/>
              </w:rPr>
              <w:t>de</w:t>
            </w:r>
            <w:r w:rsidR="008016B9" w:rsidRPr="008016B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leur apprentissage.</w:t>
            </w:r>
          </w:p>
          <w:p w14:paraId="3AD2FF5D" w14:textId="7978FC1E" w:rsidR="00D11080" w:rsidRDefault="00D11080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</w:tc>
      </w:tr>
      <w:tr w:rsidR="29B99534" w14:paraId="506A4681" w14:textId="77777777" w:rsidTr="272A9C12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A7527DF" w:rsidR="40C416CD" w:rsidRPr="00F81B0B" w:rsidRDefault="40C416CD" w:rsidP="65027AE8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Décrivez </w:t>
            </w:r>
            <w:r w:rsidR="260A8B20"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ce</w:t>
            </w:r>
            <w:r w:rsidR="604621F2"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7851C4EB" w14:textId="401C960F" w:rsidR="29B99534" w:rsidRDefault="272A9C12" w:rsidP="272A9C12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81B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Décrivez ce que vous auriez besoin de recueillir pour répondre aux questions sur l'impact ou la valeur de cette stratégie d'enseignement. Comment convaincrez-vous les autres que cette approche est meilleure par rapport à d'autres approches ? Quelles comparaisons devriez-vous faire? Examiner les étudiants ; compétences avant et après la mission? Comparez les élèves qui terminent l'activité d'apprentissage à un autre groupe d'élèves – quelles comparaisons seraient significatives?</w:t>
            </w:r>
          </w:p>
          <w:p w14:paraId="191E9923" w14:textId="77777777" w:rsidR="008016B9" w:rsidRPr="00F81B0B" w:rsidRDefault="008016B9" w:rsidP="272A9C12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9B67C4A" w14:textId="0F45B9D9" w:rsidR="29B99534" w:rsidRDefault="008016B9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Enquêtes de satisfaction et retours d'expérience : Recueill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ir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les opinions des étudiants sur l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es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activité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s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pour évaluer leur satisfaction et leur perception de l'apprentissage.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0F5C9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Pour convaincre les autres de l'efficacité de cette approche,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je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présente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rais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es données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de la recherche qui démontrent une augmentation de satisfaction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et de l'engagement des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apprenants</w:t>
            </w:r>
            <w:r w:rsidR="000F5C9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avec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des témoignages positifs.</w:t>
            </w:r>
            <w:r w:rsidR="000F5C9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Des comparaisons avec des méthodes traditionnelles illustreraient l'efficacité relative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à cette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approche.</w:t>
            </w:r>
          </w:p>
          <w:p w14:paraId="1BF2720A" w14:textId="77777777" w:rsidR="008016B9" w:rsidRDefault="008016B9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1CF58971" w14:textId="7DFE396B" w:rsidR="008016B9" w:rsidRPr="008016B9" w:rsidRDefault="008016B9" w:rsidP="008016B9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Les résultats prévus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inclus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:</w:t>
            </w:r>
          </w:p>
          <w:p w14:paraId="12A66FB2" w14:textId="77777777" w:rsidR="008016B9" w:rsidRPr="008016B9" w:rsidRDefault="008016B9" w:rsidP="008016B9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293DD18D" w14:textId="2D2C7843" w:rsidR="008016B9" w:rsidRDefault="008016B9" w:rsidP="008016B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Amélioration de l'</w:t>
            </w:r>
            <w:r w:rsidR="000F5C9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ngagement : Les étudiants montrent une participation plus active en classe.</w:t>
            </w:r>
          </w:p>
          <w:p w14:paraId="6C4394CA" w14:textId="06ABF40A" w:rsidR="008016B9" w:rsidRDefault="008016B9" w:rsidP="008016B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Augmentation de la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ompréhension :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Une m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eilleure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compréhension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des concepts et compétences enseignés.</w:t>
            </w:r>
          </w:p>
          <w:p w14:paraId="04AE831C" w14:textId="4D803052" w:rsidR="008016B9" w:rsidRDefault="008016B9" w:rsidP="008016B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Satisfaction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des apprenants 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Un s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entiment positif des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apprenants</w:t>
            </w:r>
            <w:r w:rsidRPr="008016B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envers leur expérience d'apprentissage.</w:t>
            </w:r>
          </w:p>
          <w:p w14:paraId="1AABE2E7" w14:textId="1E0E7C42" w:rsidR="008016B9" w:rsidRPr="008016B9" w:rsidRDefault="008016B9" w:rsidP="000F5C95">
            <w:pPr>
              <w:pStyle w:val="ListParagraph"/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</w:tc>
      </w:tr>
      <w:tr w:rsidR="29B99534" w14:paraId="31AC2DBA" w14:textId="77777777" w:rsidTr="272A9C12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27BC" w14:textId="7787D96E" w:rsidR="29B99534" w:rsidRDefault="00DDF8F1" w:rsidP="413A33E7">
            <w:pPr>
              <w:spacing w:after="0"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13A33E7">
              <w:rPr>
                <w:b/>
                <w:bCs/>
                <w:color w:val="000000" w:themeColor="text1"/>
                <w:sz w:val="24"/>
                <w:szCs w:val="24"/>
              </w:rPr>
              <w:t>Stratégie de diffusion</w:t>
            </w:r>
          </w:p>
          <w:p w14:paraId="3CA84DD0" w14:textId="672855CE" w:rsidR="00962ADA" w:rsidRDefault="272A9C12" w:rsidP="00962ADA">
            <w:pPr>
              <w:spacing w:before="80" w:after="62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 xml:space="preserve">Qu'aimeriez-vous savoir sur les stratégies qui pourraient entraver et/ou aider les </w:t>
            </w:r>
            <w:proofErr w:type="spellStart"/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>étudiant.e.s</w:t>
            </w:r>
            <w:proofErr w:type="spellEnd"/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 xml:space="preserve"> à apprendre, dans votre cours ?</w:t>
            </w:r>
            <w:r w:rsidRPr="00F81B0B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81B0B">
              <w:rPr>
                <w:rFonts w:eastAsiaTheme="minorEastAsia"/>
                <w:color w:val="000000" w:themeColor="text1"/>
                <w:sz w:val="24"/>
                <w:szCs w:val="24"/>
              </w:rPr>
              <w:t>Comment et où publieriez-vous, présenteriez-vous ou diffuseriez-vous ce travail?</w:t>
            </w:r>
          </w:p>
          <w:p w14:paraId="78753DB8" w14:textId="44CDB4DA" w:rsidR="00962ADA" w:rsidRDefault="00962ADA" w:rsidP="00962ADA">
            <w:pPr>
              <w:spacing w:before="80" w:after="62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Pour mieux comprendre les stratégies qui peuvent aider les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apprenants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, il serait utile de savoir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 :</w:t>
            </w:r>
          </w:p>
          <w:p w14:paraId="512359FC" w14:textId="76449816" w:rsidR="00962ADA" w:rsidRDefault="00962ADA" w:rsidP="00962ADA">
            <w:pPr>
              <w:pStyle w:val="ListParagraph"/>
              <w:numPr>
                <w:ilvl w:val="0"/>
                <w:numId w:val="2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Comment les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apprenants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ont-ils trouvé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les activités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?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 Est-ce qu’ils ont aidé leur apprentissage </w:t>
            </w:r>
            <w:r w:rsidR="00530AB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?</w:t>
            </w:r>
          </w:p>
          <w:p w14:paraId="2F93C8C1" w14:textId="77777777" w:rsidR="00962ADA" w:rsidRDefault="00962ADA" w:rsidP="00962ADA">
            <w:pPr>
              <w:pStyle w:val="ListParagraph"/>
              <w:numPr>
                <w:ilvl w:val="0"/>
                <w:numId w:val="2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lastRenderedPageBreak/>
              <w:t>Quels probl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è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mes rencontrent-ils souvent ?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Savoir cela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m’aidera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à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les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mieux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soutenir.</w:t>
            </w:r>
          </w:p>
          <w:p w14:paraId="4A8B91AC" w14:textId="5A8E1856" w:rsidR="00962ADA" w:rsidRDefault="00962ADA" w:rsidP="00962ADA">
            <w:pPr>
              <w:pStyle w:val="ListParagraph"/>
              <w:numPr>
                <w:ilvl w:val="0"/>
                <w:numId w:val="2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Quels outils et technologies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ont-ils accès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?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Ces ressources ont-elles aidé à faciliter leur apprentissage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?</w:t>
            </w:r>
          </w:p>
          <w:p w14:paraId="31BA3608" w14:textId="47ADE74E" w:rsidR="00962ADA" w:rsidRPr="00962ADA" w:rsidRDefault="00962ADA" w:rsidP="00962ADA">
            <w:pPr>
              <w:spacing w:before="80" w:after="62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Pour diffuser 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es résultats,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j’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nvisage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présenter</w:t>
            </w:r>
            <w:r w:rsidR="00234D1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et de publier</w:t>
            </w:r>
            <w:r w:rsidRPr="00962AD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mes travaux lors de conférences pédagogiques, ou de les partager sur des plateformes en ligne spécialisées dans l'enseignement et l'apprentissage.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 </w:t>
            </w:r>
          </w:p>
          <w:p w14:paraId="07E2F4E2" w14:textId="5E747667" w:rsidR="29B99534" w:rsidRPr="00F81B0B" w:rsidRDefault="29B99534" w:rsidP="00962ADA">
            <w:pPr>
              <w:spacing w:before="80" w:after="620" w:afterAutospacing="1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</w:p>
        </w:tc>
      </w:tr>
    </w:tbl>
    <w:p w14:paraId="6677D2FC" w14:textId="7876C786" w:rsidR="2FAF3286" w:rsidRDefault="3B8E3C76" w:rsidP="413A33E7">
      <w:pPr>
        <w:spacing w:before="20" w:after="0" w:line="278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00F81B0B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Adapté de : C. J.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>Stanny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E. M. El-Sheikh, &amp; H-M. 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Chung (2009) </w:t>
      </w:r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Getting Started with a </w:t>
      </w:r>
      <w:proofErr w:type="spellStart"/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>SoTL</w:t>
      </w:r>
      <w:proofErr w:type="spellEnd"/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 Project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(Commencer un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projet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d’EEA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)</w:t>
      </w:r>
    </w:p>
    <w:p w14:paraId="6DAB2BE5" w14:textId="7FA77A61" w:rsidR="2FAF3286" w:rsidRDefault="6C8A21D3" w:rsidP="413A33E7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Center for University Teaching, Learning, and Assessment </w:t>
      </w:r>
      <w:hyperlink r:id="rId10">
        <w:r w:rsidRPr="413A33E7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http://uwf.edu/cutla/</w:t>
        </w:r>
      </w:hyperlink>
    </w:p>
    <w:p w14:paraId="022B81E3" w14:textId="3D3E0629" w:rsidR="2FAF3286" w:rsidRDefault="2FAF3286" w:rsidP="413A33E7">
      <w:pPr>
        <w:spacing w:after="400" w:line="19" w:lineRule="auto"/>
        <w:rPr>
          <w:rFonts w:ascii="Calibri" w:eastAsia="Calibri" w:hAnsi="Calibri" w:cs="Calibri"/>
          <w:sz w:val="24"/>
          <w:szCs w:val="24"/>
          <w:lang w:val="en"/>
        </w:rPr>
      </w:pPr>
    </w:p>
    <w:sectPr w:rsidR="2FAF3286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8967" w14:textId="77777777" w:rsidR="002054F9" w:rsidRDefault="002054F9" w:rsidP="008E5517">
      <w:pPr>
        <w:spacing w:after="0" w:line="240" w:lineRule="auto"/>
      </w:pPr>
      <w:r>
        <w:separator/>
      </w:r>
    </w:p>
  </w:endnote>
  <w:endnote w:type="continuationSeparator" w:id="0">
    <w:p w14:paraId="07C25386" w14:textId="77777777" w:rsidR="002054F9" w:rsidRDefault="002054F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B31D" w14:textId="77777777" w:rsidR="002054F9" w:rsidRDefault="002054F9" w:rsidP="008E5517">
      <w:pPr>
        <w:spacing w:after="0" w:line="240" w:lineRule="auto"/>
      </w:pPr>
      <w:r>
        <w:separator/>
      </w:r>
    </w:p>
  </w:footnote>
  <w:footnote w:type="continuationSeparator" w:id="0">
    <w:p w14:paraId="134848D9" w14:textId="77777777" w:rsidR="002054F9" w:rsidRDefault="002054F9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50A8183B" w:rsidR="29B99534" w:rsidRDefault="00DC7636" w:rsidP="29B99534">
          <w:pPr>
            <w:pStyle w:val="Header"/>
            <w:ind w:left="-115"/>
          </w:pPr>
          <w:r>
            <w:t>Patrick Molicard-Chartier</w:t>
          </w: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682A"/>
    <w:multiLevelType w:val="hybridMultilevel"/>
    <w:tmpl w:val="8FC6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E0F"/>
    <w:multiLevelType w:val="hybridMultilevel"/>
    <w:tmpl w:val="D9A63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96025">
    <w:abstractNumId w:val="1"/>
  </w:num>
  <w:num w:numId="2" w16cid:durableId="208078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F5C95"/>
    <w:rsid w:val="002054F9"/>
    <w:rsid w:val="00234D1F"/>
    <w:rsid w:val="00530AB2"/>
    <w:rsid w:val="008016B9"/>
    <w:rsid w:val="008E5517"/>
    <w:rsid w:val="00962ADA"/>
    <w:rsid w:val="00C63E19"/>
    <w:rsid w:val="00CE6DF9"/>
    <w:rsid w:val="00D11080"/>
    <w:rsid w:val="00D366E6"/>
    <w:rsid w:val="00DC7636"/>
    <w:rsid w:val="00DDF8F1"/>
    <w:rsid w:val="00F81B0B"/>
    <w:rsid w:val="0355E02B"/>
    <w:rsid w:val="052A5A77"/>
    <w:rsid w:val="05C27C47"/>
    <w:rsid w:val="06586F65"/>
    <w:rsid w:val="081FF1B2"/>
    <w:rsid w:val="089E6B3B"/>
    <w:rsid w:val="08FA1D09"/>
    <w:rsid w:val="096DC981"/>
    <w:rsid w:val="0990C862"/>
    <w:rsid w:val="0A46609C"/>
    <w:rsid w:val="0A95ED6A"/>
    <w:rsid w:val="0BDBDB7C"/>
    <w:rsid w:val="0E1C5C7E"/>
    <w:rsid w:val="0E4B1128"/>
    <w:rsid w:val="0FB82CDF"/>
    <w:rsid w:val="102B7B52"/>
    <w:rsid w:val="1153FD40"/>
    <w:rsid w:val="12C080A0"/>
    <w:rsid w:val="155A57F5"/>
    <w:rsid w:val="15F169FC"/>
    <w:rsid w:val="16FD37EF"/>
    <w:rsid w:val="180B1BCB"/>
    <w:rsid w:val="186651B3"/>
    <w:rsid w:val="1893A7E8"/>
    <w:rsid w:val="19E44FA4"/>
    <w:rsid w:val="1A0C055D"/>
    <w:rsid w:val="1A670A23"/>
    <w:rsid w:val="1A850E5A"/>
    <w:rsid w:val="1C39C606"/>
    <w:rsid w:val="1DA3F13A"/>
    <w:rsid w:val="1E9552CA"/>
    <w:rsid w:val="1F1A4956"/>
    <w:rsid w:val="200AC42F"/>
    <w:rsid w:val="218B8658"/>
    <w:rsid w:val="22A5E842"/>
    <w:rsid w:val="22FC4CD9"/>
    <w:rsid w:val="2595BBE3"/>
    <w:rsid w:val="260A8B20"/>
    <w:rsid w:val="272A9C12"/>
    <w:rsid w:val="281004BE"/>
    <w:rsid w:val="29B99534"/>
    <w:rsid w:val="2A718846"/>
    <w:rsid w:val="2D3A01B6"/>
    <w:rsid w:val="2D89E42A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5FEFAC7"/>
    <w:rsid w:val="37C7A9DD"/>
    <w:rsid w:val="38D20E74"/>
    <w:rsid w:val="3985C22D"/>
    <w:rsid w:val="3A6DDED5"/>
    <w:rsid w:val="3B8E3C76"/>
    <w:rsid w:val="3BF682DB"/>
    <w:rsid w:val="3C232D96"/>
    <w:rsid w:val="3CE2262E"/>
    <w:rsid w:val="3D61BE13"/>
    <w:rsid w:val="3EC009AE"/>
    <w:rsid w:val="3EDF20A6"/>
    <w:rsid w:val="3F892CFF"/>
    <w:rsid w:val="3F9E6386"/>
    <w:rsid w:val="407529AA"/>
    <w:rsid w:val="40C416CD"/>
    <w:rsid w:val="413A33E7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B64F629"/>
    <w:rsid w:val="4C9E60BE"/>
    <w:rsid w:val="4CC839A1"/>
    <w:rsid w:val="4E177CCB"/>
    <w:rsid w:val="4EF4F829"/>
    <w:rsid w:val="4F0EFE64"/>
    <w:rsid w:val="518B100A"/>
    <w:rsid w:val="52469F26"/>
    <w:rsid w:val="53E26F87"/>
    <w:rsid w:val="555B8E8D"/>
    <w:rsid w:val="59113589"/>
    <w:rsid w:val="5AB6E801"/>
    <w:rsid w:val="5C81ACF9"/>
    <w:rsid w:val="5D2731DB"/>
    <w:rsid w:val="5D3F460A"/>
    <w:rsid w:val="5E7D14C0"/>
    <w:rsid w:val="5EBAA83B"/>
    <w:rsid w:val="604621F2"/>
    <w:rsid w:val="60EE1A46"/>
    <w:rsid w:val="6141BEFD"/>
    <w:rsid w:val="6328F164"/>
    <w:rsid w:val="645618AE"/>
    <w:rsid w:val="64A4CF9F"/>
    <w:rsid w:val="65027AE8"/>
    <w:rsid w:val="654A57EF"/>
    <w:rsid w:val="6737EB98"/>
    <w:rsid w:val="67DC4ED2"/>
    <w:rsid w:val="6B2ADBA0"/>
    <w:rsid w:val="6C8A21D3"/>
    <w:rsid w:val="6D4E569E"/>
    <w:rsid w:val="6FA28590"/>
    <w:rsid w:val="707B1784"/>
    <w:rsid w:val="71526EE2"/>
    <w:rsid w:val="7216E7E5"/>
    <w:rsid w:val="72F1D130"/>
    <w:rsid w:val="73B3C807"/>
    <w:rsid w:val="7568693F"/>
    <w:rsid w:val="75AD1E0A"/>
    <w:rsid w:val="76543EAC"/>
    <w:rsid w:val="770439A0"/>
    <w:rsid w:val="779071E5"/>
    <w:rsid w:val="7A926637"/>
    <w:rsid w:val="7E44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31318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56545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7074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01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2626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4401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16701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4367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24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wf.edu/cut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73C1-0786-4E3F-85A6-6972020C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2024-01-17T21:31:00Z</dcterms:created>
  <dcterms:modified xsi:type="dcterms:W3CDTF">2024-01-17T21:34:00Z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